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F5BA62">
      <w:pPr>
        <w:spacing w:line="360" w:lineRule="auto"/>
        <w:jc w:val="center"/>
        <w:rPr>
          <w:rFonts w:hint="eastAsia" w:ascii="仿宋" w:hAnsi="仿宋" w:eastAsia="仿宋"/>
          <w:sz w:val="24"/>
          <w:szCs w:val="24"/>
        </w:rPr>
        <w:sectPr>
          <w:headerReference r:id="rId3" w:type="default"/>
          <w:footerReference r:id="rId4" w:type="default"/>
          <w:footerReference r:id="rId5" w:type="even"/>
          <w:pgSz w:w="23814" w:h="16840" w:orient="landscape"/>
          <w:pgMar w:top="1304" w:right="1701" w:bottom="1304" w:left="1981" w:header="1304" w:footer="1304" w:gutter="0"/>
          <w:pgNumType w:start="1"/>
          <w:cols w:space="609" w:num="1"/>
          <w:docGrid w:type="linesAndChars" w:linePitch="479" w:charSpace="716"/>
        </w:sectPr>
      </w:pPr>
      <w:bookmarkStart w:id="14" w:name="_GoBack"/>
      <w:bookmarkEnd w:id="14"/>
      <w:r>
        <w:rPr>
          <w:rFonts w:hint="eastAsia" w:ascii="仿宋" w:hAnsi="仿宋" w:eastAsia="仿宋"/>
          <w:b/>
          <w:sz w:val="44"/>
          <w:szCs w:val="44"/>
        </w:rPr>
        <w:t>说明书</w:t>
      </w:r>
    </w:p>
    <w:p w14:paraId="2CFC2EA0">
      <w:pPr>
        <w:pStyle w:val="206"/>
        <w:rPr>
          <w:rFonts w:hint="eastAsia"/>
        </w:rPr>
      </w:pPr>
      <w:r>
        <w:rPr>
          <w:rFonts w:hint="eastAsia"/>
        </w:rPr>
        <w:t>任务依据及测设经过</w:t>
      </w:r>
    </w:p>
    <w:p w14:paraId="61956E9D">
      <w:pPr>
        <w:pStyle w:val="207"/>
        <w:ind w:firstLine="482" w:firstLineChars="200"/>
        <w:rPr>
          <w:rFonts w:hint="eastAsia"/>
        </w:rPr>
      </w:pPr>
      <w:r>
        <w:rPr>
          <w:rFonts w:hint="eastAsia"/>
        </w:rPr>
        <w:t>概述</w:t>
      </w:r>
    </w:p>
    <w:p w14:paraId="3CC1699B">
      <w:pPr>
        <w:pStyle w:val="77"/>
        <w:rPr>
          <w:rFonts w:hint="eastAsia" w:ascii="仿宋" w:hAnsi="仿宋" w:eastAsia="仿宋"/>
        </w:rPr>
      </w:pPr>
      <w:r>
        <w:rPr>
          <w:rFonts w:hint="eastAsia" w:ascii="仿宋" w:hAnsi="仿宋" w:eastAsia="仿宋"/>
        </w:rPr>
        <w:t>白山市，别称“浑江”，吉林省辖地级市，地处长白山西侧，东与延边朝鲜族自治州相邻，西与通化市接壤，北与吉林市毗连，南与朝鲜民主主义人民共和国隔鸭绿江相望，地处长白山腹地，龙岗山脉和老岭山脉斜贯全境，属北温带大陆性季风气候，总面积17505平方千米。 截至2025年7月，全市辖2个区、2个县、1个自治县，代管1个县级市。截至2024年末，白山市常住人口88.88万人。</w:t>
      </w:r>
    </w:p>
    <w:p w14:paraId="62FD40B7">
      <w:pPr>
        <w:pStyle w:val="77"/>
        <w:jc w:val="both"/>
        <w:rPr>
          <w:rFonts w:hint="eastAsia" w:ascii="仿宋" w:hAnsi="仿宋" w:eastAsia="仿宋"/>
        </w:rPr>
      </w:pPr>
      <w:r>
        <w:rPr>
          <w:rFonts w:hint="eastAsia" w:ascii="仿宋" w:hAnsi="仿宋" w:eastAsia="仿宋"/>
        </w:rPr>
        <w:t>由于雨水冲刷，既有路面、边坡及涵洞出现水毁现象，影响居民通行，阻碍交通，因此提出本项目的建设。</w:t>
      </w:r>
    </w:p>
    <w:p w14:paraId="28A88B6B">
      <w:pPr>
        <w:pStyle w:val="207"/>
        <w:ind w:firstLine="482" w:firstLineChars="200"/>
        <w:rPr>
          <w:rFonts w:hint="eastAsia"/>
        </w:rPr>
      </w:pPr>
      <w:r>
        <w:rPr>
          <w:rFonts w:hint="eastAsia"/>
        </w:rPr>
        <w:t>工程范围、工程规模及主要设计内容</w:t>
      </w:r>
    </w:p>
    <w:p w14:paraId="64F940AA">
      <w:pPr>
        <w:pStyle w:val="77"/>
        <w:rPr>
          <w:rFonts w:hint="eastAsia" w:ascii="仿宋" w:hAnsi="仿宋" w:eastAsia="仿宋"/>
        </w:rPr>
      </w:pPr>
      <w:r>
        <w:rPr>
          <w:rFonts w:hint="eastAsia" w:ascii="仿宋" w:hAnsi="仿宋" w:eastAsia="仿宋"/>
        </w:rPr>
        <w:t>本项目位于马鹿沟镇梨树沟村、农场村，本项目为水毁重建项目，全线里程0</w:t>
      </w:r>
      <w:r>
        <w:rPr>
          <w:rFonts w:ascii="仿宋" w:hAnsi="仿宋" w:eastAsia="仿宋"/>
        </w:rPr>
        <w:t>.585</w:t>
      </w:r>
      <w:r>
        <w:rPr>
          <w:rFonts w:hint="eastAsia" w:ascii="仿宋" w:hAnsi="仿宋" w:eastAsia="仿宋"/>
        </w:rPr>
        <w:t>公里。设计桩号为拟定桩号，路线1起点实际里程桩号为K5+776。具体情况如下：</w:t>
      </w:r>
    </w:p>
    <w:p w14:paraId="4932ADD2">
      <w:pPr>
        <w:pStyle w:val="77"/>
        <w:rPr>
          <w:rFonts w:hint="eastAsia" w:ascii="仿宋" w:hAnsi="仿宋" w:eastAsia="仿宋"/>
        </w:rPr>
      </w:pPr>
      <w:r>
        <w:rPr>
          <w:rFonts w:hint="eastAsia" w:ascii="仿宋" w:hAnsi="仿宋" w:eastAsia="仿宋"/>
        </w:rPr>
        <w:t>路线1起点桩号K</w:t>
      </w:r>
      <w:r>
        <w:rPr>
          <w:rFonts w:ascii="仿宋" w:hAnsi="仿宋" w:eastAsia="仿宋"/>
        </w:rPr>
        <w:t>0+000</w:t>
      </w:r>
      <w:r>
        <w:rPr>
          <w:rFonts w:hint="eastAsia" w:ascii="仿宋" w:hAnsi="仿宋" w:eastAsia="仿宋"/>
        </w:rPr>
        <w:t>，终点桩号K</w:t>
      </w:r>
      <w:r>
        <w:rPr>
          <w:rFonts w:ascii="仿宋" w:hAnsi="仿宋" w:eastAsia="仿宋"/>
        </w:rPr>
        <w:t>0+562,</w:t>
      </w:r>
      <w:r>
        <w:rPr>
          <w:rFonts w:hint="eastAsia" w:ascii="仿宋" w:hAnsi="仿宋" w:eastAsia="仿宋"/>
        </w:rPr>
        <w:t>全长0</w:t>
      </w:r>
      <w:r>
        <w:rPr>
          <w:rFonts w:ascii="仿宋" w:hAnsi="仿宋" w:eastAsia="仿宋"/>
        </w:rPr>
        <w:t>.562</w:t>
      </w:r>
      <w:r>
        <w:rPr>
          <w:rFonts w:hint="eastAsia" w:ascii="仿宋" w:hAnsi="仿宋" w:eastAsia="仿宋"/>
        </w:rPr>
        <w:t>公里。新建M</w:t>
      </w:r>
      <w:r>
        <w:rPr>
          <w:rFonts w:ascii="仿宋" w:hAnsi="仿宋" w:eastAsia="仿宋"/>
        </w:rPr>
        <w:t>15</w:t>
      </w:r>
      <w:r>
        <w:rPr>
          <w:rFonts w:hint="eastAsia" w:ascii="仿宋" w:hAnsi="仿宋" w:eastAsia="仿宋"/>
        </w:rPr>
        <w:t>浆砌片石挡土墙5</w:t>
      </w:r>
      <w:r>
        <w:rPr>
          <w:rFonts w:ascii="仿宋" w:hAnsi="仿宋" w:eastAsia="仿宋"/>
        </w:rPr>
        <w:t>62</w:t>
      </w:r>
      <w:r>
        <w:rPr>
          <w:rFonts w:hint="eastAsia" w:ascii="仿宋" w:hAnsi="仿宋" w:eastAsia="仿宋"/>
        </w:rPr>
        <w:t>米，沥青混凝土罩面214平方米，新建沥青混凝土路面2</w:t>
      </w:r>
      <w:r>
        <w:rPr>
          <w:rFonts w:ascii="仿宋" w:hAnsi="仿宋" w:eastAsia="仿宋"/>
        </w:rPr>
        <w:t>68</w:t>
      </w:r>
      <w:r>
        <w:rPr>
          <w:rFonts w:hint="eastAsia" w:ascii="仿宋" w:hAnsi="仿宋" w:eastAsia="仿宋"/>
        </w:rPr>
        <w:t>平方米，新建1</w:t>
      </w:r>
      <w:r>
        <w:rPr>
          <w:rFonts w:ascii="仿宋" w:hAnsi="仿宋" w:eastAsia="仿宋"/>
        </w:rPr>
        <w:t>-1.5</w:t>
      </w:r>
      <w:r>
        <w:rPr>
          <w:rFonts w:hint="eastAsia" w:ascii="仿宋" w:hAnsi="仿宋" w:eastAsia="仿宋"/>
        </w:rPr>
        <w:t>×</w:t>
      </w:r>
      <w:r>
        <w:rPr>
          <w:rFonts w:ascii="仿宋" w:hAnsi="仿宋" w:eastAsia="仿宋"/>
        </w:rPr>
        <w:t>2.32</w:t>
      </w:r>
      <w:r>
        <w:rPr>
          <w:rFonts w:hint="eastAsia" w:ascii="仿宋" w:hAnsi="仿宋" w:eastAsia="仿宋"/>
        </w:rPr>
        <w:t>米钢筋混凝土盖板明涵。</w:t>
      </w:r>
    </w:p>
    <w:p w14:paraId="384338FE">
      <w:pPr>
        <w:pStyle w:val="77"/>
        <w:rPr>
          <w:rFonts w:hint="eastAsia" w:ascii="仿宋" w:hAnsi="仿宋" w:eastAsia="仿宋"/>
        </w:rPr>
      </w:pPr>
      <w:r>
        <w:rPr>
          <w:rFonts w:hint="eastAsia" w:ascii="仿宋" w:hAnsi="仿宋" w:eastAsia="仿宋"/>
        </w:rPr>
        <w:t>路线</w:t>
      </w:r>
      <w:r>
        <w:rPr>
          <w:rFonts w:ascii="仿宋" w:hAnsi="仿宋" w:eastAsia="仿宋"/>
        </w:rPr>
        <w:t>2</w:t>
      </w:r>
      <w:r>
        <w:rPr>
          <w:rFonts w:hint="eastAsia" w:ascii="仿宋" w:hAnsi="仿宋" w:eastAsia="仿宋"/>
        </w:rPr>
        <w:t>起点桩号K</w:t>
      </w:r>
      <w:r>
        <w:rPr>
          <w:rFonts w:ascii="仿宋" w:hAnsi="仿宋" w:eastAsia="仿宋"/>
        </w:rPr>
        <w:t>0+000</w:t>
      </w:r>
      <w:r>
        <w:rPr>
          <w:rFonts w:hint="eastAsia" w:ascii="仿宋" w:hAnsi="仿宋" w:eastAsia="仿宋"/>
        </w:rPr>
        <w:t>，终点桩号K</w:t>
      </w:r>
      <w:r>
        <w:rPr>
          <w:rFonts w:ascii="仿宋" w:hAnsi="仿宋" w:eastAsia="仿宋"/>
        </w:rPr>
        <w:t>0+010,</w:t>
      </w:r>
      <w:r>
        <w:rPr>
          <w:rFonts w:hint="eastAsia" w:ascii="仿宋" w:hAnsi="仿宋" w:eastAsia="仿宋"/>
        </w:rPr>
        <w:t>全长0</w:t>
      </w:r>
      <w:r>
        <w:rPr>
          <w:rFonts w:ascii="仿宋" w:hAnsi="仿宋" w:eastAsia="仿宋"/>
        </w:rPr>
        <w:t>.010</w:t>
      </w:r>
      <w:r>
        <w:rPr>
          <w:rFonts w:hint="eastAsia" w:ascii="仿宋" w:hAnsi="仿宋" w:eastAsia="仿宋"/>
        </w:rPr>
        <w:t>公里。新建2</w:t>
      </w:r>
      <w:r>
        <w:rPr>
          <w:rFonts w:ascii="仿宋" w:hAnsi="仿宋" w:eastAsia="仿宋"/>
        </w:rPr>
        <w:t>-1.0</w:t>
      </w:r>
      <w:r>
        <w:rPr>
          <w:rFonts w:hint="eastAsia" w:ascii="仿宋" w:hAnsi="仿宋" w:eastAsia="仿宋"/>
        </w:rPr>
        <w:t>米钢筋混凝土圆管涵。</w:t>
      </w:r>
    </w:p>
    <w:p w14:paraId="05EE2ABD">
      <w:pPr>
        <w:pStyle w:val="77"/>
        <w:rPr>
          <w:rFonts w:hint="eastAsia" w:ascii="仿宋" w:hAnsi="仿宋" w:eastAsia="仿宋"/>
        </w:rPr>
      </w:pPr>
      <w:r>
        <w:rPr>
          <w:rFonts w:hint="eastAsia" w:ascii="仿宋" w:hAnsi="仿宋" w:eastAsia="仿宋"/>
        </w:rPr>
        <w:t>路线</w:t>
      </w:r>
      <w:r>
        <w:rPr>
          <w:rFonts w:ascii="仿宋" w:hAnsi="仿宋" w:eastAsia="仿宋"/>
        </w:rPr>
        <w:t>3</w:t>
      </w:r>
      <w:r>
        <w:rPr>
          <w:rFonts w:hint="eastAsia" w:ascii="仿宋" w:hAnsi="仿宋" w:eastAsia="仿宋"/>
        </w:rPr>
        <w:t>起点桩号K</w:t>
      </w:r>
      <w:r>
        <w:rPr>
          <w:rFonts w:ascii="仿宋" w:hAnsi="仿宋" w:eastAsia="仿宋"/>
        </w:rPr>
        <w:t>0+000</w:t>
      </w:r>
      <w:r>
        <w:rPr>
          <w:rFonts w:hint="eastAsia" w:ascii="仿宋" w:hAnsi="仿宋" w:eastAsia="仿宋"/>
        </w:rPr>
        <w:t>，终点桩号K</w:t>
      </w:r>
      <w:r>
        <w:rPr>
          <w:rFonts w:ascii="仿宋" w:hAnsi="仿宋" w:eastAsia="仿宋"/>
        </w:rPr>
        <w:t>0+010,</w:t>
      </w:r>
      <w:r>
        <w:rPr>
          <w:rFonts w:hint="eastAsia" w:ascii="仿宋" w:hAnsi="仿宋" w:eastAsia="仿宋"/>
        </w:rPr>
        <w:t>全长0</w:t>
      </w:r>
      <w:r>
        <w:rPr>
          <w:rFonts w:ascii="仿宋" w:hAnsi="仿宋" w:eastAsia="仿宋"/>
        </w:rPr>
        <w:t>.010</w:t>
      </w:r>
      <w:r>
        <w:rPr>
          <w:rFonts w:hint="eastAsia" w:ascii="仿宋" w:hAnsi="仿宋" w:eastAsia="仿宋"/>
        </w:rPr>
        <w:t>公里。新建</w:t>
      </w:r>
      <w:r>
        <w:rPr>
          <w:rFonts w:ascii="仿宋" w:hAnsi="仿宋" w:eastAsia="仿宋"/>
        </w:rPr>
        <w:t>1-1.0</w:t>
      </w:r>
      <w:r>
        <w:rPr>
          <w:rFonts w:hint="eastAsia" w:ascii="仿宋" w:hAnsi="仿宋" w:eastAsia="仿宋"/>
        </w:rPr>
        <w:t>米钢筋混凝土圆管涵。</w:t>
      </w:r>
    </w:p>
    <w:p w14:paraId="1CEA4C8F">
      <w:pPr>
        <w:pStyle w:val="207"/>
        <w:ind w:firstLine="482" w:firstLineChars="200"/>
        <w:rPr>
          <w:rFonts w:hint="eastAsia"/>
        </w:rPr>
      </w:pPr>
      <w:r>
        <w:rPr>
          <w:rFonts w:hint="eastAsia"/>
        </w:rPr>
        <w:t>设计</w:t>
      </w:r>
      <w:r>
        <w:t>依据</w:t>
      </w:r>
    </w:p>
    <w:p w14:paraId="6387D0C1">
      <w:pPr>
        <w:pStyle w:val="77"/>
        <w:jc w:val="both"/>
        <w:rPr>
          <w:rFonts w:hint="eastAsia" w:ascii="仿宋" w:hAnsi="仿宋" w:eastAsia="仿宋"/>
        </w:rPr>
      </w:pPr>
      <w:r>
        <w:rPr>
          <w:rFonts w:ascii="仿宋" w:hAnsi="仿宋" w:eastAsia="仿宋"/>
        </w:rPr>
        <w:t>本次设计的具体依据及采用的规范标准如下：</w:t>
      </w:r>
    </w:p>
    <w:p w14:paraId="6C606EE7">
      <w:pPr>
        <w:pStyle w:val="77"/>
        <w:numPr>
          <w:ilvl w:val="0"/>
          <w:numId w:val="8"/>
        </w:numPr>
        <w:ind w:firstLineChars="0"/>
        <w:rPr>
          <w:rFonts w:hint="eastAsia" w:ascii="仿宋" w:hAnsi="仿宋" w:eastAsia="仿宋"/>
        </w:rPr>
      </w:pPr>
      <w:r>
        <w:rPr>
          <w:rFonts w:hint="eastAsia" w:ascii="仿宋" w:hAnsi="仿宋" w:eastAsia="仿宋"/>
        </w:rPr>
        <w:t>交通部《公路工程技术标准》（JTG B01-2014）;</w:t>
      </w:r>
    </w:p>
    <w:p w14:paraId="4A8B783F">
      <w:pPr>
        <w:pStyle w:val="77"/>
        <w:numPr>
          <w:ilvl w:val="0"/>
          <w:numId w:val="8"/>
        </w:numPr>
        <w:ind w:firstLineChars="0"/>
        <w:rPr>
          <w:rFonts w:hint="eastAsia" w:ascii="仿宋" w:hAnsi="仿宋" w:eastAsia="仿宋"/>
        </w:rPr>
      </w:pPr>
      <w:r>
        <w:rPr>
          <w:rFonts w:hint="eastAsia" w:ascii="仿宋" w:hAnsi="仿宋" w:eastAsia="仿宋"/>
        </w:rPr>
        <w:t>交通部《公路路线设计规范》（JTG D20-2017）;</w:t>
      </w:r>
    </w:p>
    <w:p w14:paraId="6390EB1E">
      <w:pPr>
        <w:pStyle w:val="77"/>
        <w:numPr>
          <w:ilvl w:val="0"/>
          <w:numId w:val="8"/>
        </w:numPr>
        <w:ind w:firstLineChars="0"/>
        <w:rPr>
          <w:rFonts w:hint="eastAsia" w:ascii="仿宋" w:hAnsi="仿宋" w:eastAsia="仿宋"/>
        </w:rPr>
      </w:pPr>
      <w:r>
        <w:rPr>
          <w:rFonts w:hint="eastAsia" w:ascii="仿宋" w:hAnsi="仿宋" w:eastAsia="仿宋"/>
        </w:rPr>
        <w:t>交通部《公路养护技术规范》（JTG H10-2009）;</w:t>
      </w:r>
    </w:p>
    <w:p w14:paraId="4998BCC2">
      <w:pPr>
        <w:pStyle w:val="77"/>
        <w:numPr>
          <w:ilvl w:val="0"/>
          <w:numId w:val="8"/>
        </w:numPr>
        <w:ind w:firstLineChars="0"/>
        <w:rPr>
          <w:rFonts w:hint="eastAsia" w:ascii="仿宋" w:hAnsi="仿宋" w:eastAsia="仿宋"/>
        </w:rPr>
      </w:pPr>
      <w:r>
        <w:rPr>
          <w:rFonts w:hint="eastAsia" w:ascii="仿宋" w:hAnsi="仿宋" w:eastAsia="仿宋"/>
        </w:rPr>
        <w:t>交通部《公路水泥混凝土路面设计规范》(JTG D40—2011)；</w:t>
      </w:r>
    </w:p>
    <w:p w14:paraId="038E36AC">
      <w:pPr>
        <w:pStyle w:val="77"/>
        <w:numPr>
          <w:ilvl w:val="0"/>
          <w:numId w:val="8"/>
        </w:numPr>
        <w:ind w:firstLineChars="0"/>
        <w:rPr>
          <w:rFonts w:hint="eastAsia" w:ascii="仿宋" w:hAnsi="仿宋" w:eastAsia="仿宋"/>
        </w:rPr>
      </w:pPr>
      <w:r>
        <w:rPr>
          <w:rFonts w:hint="eastAsia" w:ascii="仿宋" w:hAnsi="仿宋" w:eastAsia="仿宋"/>
        </w:rPr>
        <w:t>交通部《公路沥青路面设计规范》(JTG D50-2017）</w:t>
      </w:r>
    </w:p>
    <w:p w14:paraId="01D40FF2">
      <w:pPr>
        <w:pStyle w:val="77"/>
        <w:numPr>
          <w:ilvl w:val="0"/>
          <w:numId w:val="8"/>
        </w:numPr>
        <w:ind w:firstLineChars="0"/>
        <w:rPr>
          <w:rFonts w:hint="eastAsia" w:ascii="仿宋" w:hAnsi="仿宋" w:eastAsia="仿宋"/>
        </w:rPr>
      </w:pPr>
      <w:r>
        <w:rPr>
          <w:rFonts w:hint="eastAsia" w:ascii="仿宋" w:hAnsi="仿宋" w:eastAsia="仿宋"/>
        </w:rPr>
        <w:t>交通部《公路路面基层施工技术细则》（JTG/T F20-2015）;</w:t>
      </w:r>
    </w:p>
    <w:p w14:paraId="3F7477E1">
      <w:pPr>
        <w:pStyle w:val="77"/>
        <w:numPr>
          <w:ilvl w:val="0"/>
          <w:numId w:val="8"/>
        </w:numPr>
        <w:ind w:firstLineChars="0"/>
        <w:rPr>
          <w:rFonts w:hint="eastAsia" w:ascii="仿宋" w:hAnsi="仿宋" w:eastAsia="仿宋"/>
        </w:rPr>
      </w:pPr>
      <w:r>
        <w:rPr>
          <w:rFonts w:hint="eastAsia" w:ascii="仿宋" w:hAnsi="仿宋" w:eastAsia="仿宋"/>
        </w:rPr>
        <w:t>交通部《公路路基设计规范》（JTG D30-2015）;</w:t>
      </w:r>
    </w:p>
    <w:p w14:paraId="7227B8B9">
      <w:pPr>
        <w:pStyle w:val="77"/>
        <w:numPr>
          <w:ilvl w:val="0"/>
          <w:numId w:val="8"/>
        </w:numPr>
        <w:ind w:firstLineChars="0"/>
        <w:rPr>
          <w:rFonts w:hint="eastAsia" w:ascii="仿宋" w:hAnsi="仿宋" w:eastAsia="仿宋"/>
        </w:rPr>
      </w:pPr>
      <w:r>
        <w:rPr>
          <w:rFonts w:hint="eastAsia" w:ascii="仿宋" w:hAnsi="仿宋" w:eastAsia="仿宋"/>
        </w:rPr>
        <w:t>交通部《公路工程集料试验规程》（JTG  E42－2015）;</w:t>
      </w:r>
    </w:p>
    <w:p w14:paraId="78E674B5">
      <w:pPr>
        <w:pStyle w:val="77"/>
        <w:numPr>
          <w:ilvl w:val="0"/>
          <w:numId w:val="8"/>
        </w:numPr>
        <w:ind w:firstLineChars="0"/>
        <w:rPr>
          <w:rFonts w:hint="eastAsia" w:ascii="仿宋" w:hAnsi="仿宋" w:eastAsia="仿宋"/>
        </w:rPr>
      </w:pPr>
      <w:r>
        <w:rPr>
          <w:rFonts w:hint="eastAsia" w:ascii="仿宋" w:hAnsi="仿宋" w:eastAsia="仿宋"/>
        </w:rPr>
        <w:t>交通部《公路工程质量检验评定标准》（TJG F80/1-2012）;</w:t>
      </w:r>
    </w:p>
    <w:p w14:paraId="3C184C59">
      <w:pPr>
        <w:pStyle w:val="77"/>
        <w:numPr>
          <w:ilvl w:val="0"/>
          <w:numId w:val="8"/>
        </w:numPr>
        <w:ind w:firstLineChars="0"/>
        <w:jc w:val="both"/>
        <w:rPr>
          <w:rFonts w:hint="eastAsia" w:ascii="仿宋" w:hAnsi="仿宋" w:eastAsia="仿宋"/>
        </w:rPr>
      </w:pPr>
      <w:r>
        <w:rPr>
          <w:rFonts w:hint="eastAsia" w:ascii="仿宋" w:hAnsi="仿宋" w:eastAsia="仿宋"/>
        </w:rPr>
        <w:t>交通部《公路养护质量检查评定标准》（TJT 075-94）;</w:t>
      </w:r>
    </w:p>
    <w:p w14:paraId="19A2B0D4">
      <w:pPr>
        <w:pStyle w:val="77"/>
        <w:numPr>
          <w:ilvl w:val="0"/>
          <w:numId w:val="8"/>
        </w:numPr>
        <w:ind w:firstLineChars="0"/>
        <w:jc w:val="both"/>
        <w:rPr>
          <w:rFonts w:hint="eastAsia" w:ascii="仿宋" w:hAnsi="仿宋" w:eastAsia="仿宋"/>
        </w:rPr>
      </w:pPr>
      <w:r>
        <w:rPr>
          <w:rFonts w:hint="eastAsia" w:ascii="仿宋" w:hAnsi="仿宋" w:eastAsia="仿宋"/>
        </w:rPr>
        <w:t>《岩土工程勘察（详勘）报告》（2026-17）</w:t>
      </w:r>
    </w:p>
    <w:p w14:paraId="0B35D145">
      <w:pPr>
        <w:pStyle w:val="77"/>
        <w:numPr>
          <w:ilvl w:val="0"/>
          <w:numId w:val="8"/>
        </w:numPr>
        <w:ind w:firstLineChars="0"/>
        <w:jc w:val="both"/>
        <w:rPr>
          <w:rFonts w:hint="eastAsia" w:ascii="仿宋" w:hAnsi="仿宋" w:eastAsia="仿宋"/>
        </w:rPr>
      </w:pPr>
      <w:r>
        <w:rPr>
          <w:rFonts w:hint="eastAsia" w:ascii="仿宋" w:hAnsi="仿宋" w:eastAsia="仿宋"/>
        </w:rPr>
        <w:t>国家及交通运输部现行的其它相关《规范》、《规程》、《办法》。</w:t>
      </w:r>
    </w:p>
    <w:p w14:paraId="2AA9FCDD">
      <w:pPr>
        <w:pStyle w:val="207"/>
        <w:ind w:firstLine="482" w:firstLineChars="200"/>
        <w:rPr>
          <w:rFonts w:hint="eastAsia"/>
        </w:rPr>
      </w:pPr>
      <w:r>
        <w:rPr>
          <w:rFonts w:hint="eastAsia"/>
        </w:rPr>
        <w:t>测设经过</w:t>
      </w:r>
    </w:p>
    <w:p w14:paraId="565677FC">
      <w:pPr>
        <w:pStyle w:val="77"/>
        <w:rPr>
          <w:rFonts w:hint="eastAsia" w:ascii="仿宋" w:hAnsi="仿宋" w:eastAsia="仿宋"/>
        </w:rPr>
      </w:pPr>
      <w:r>
        <w:rPr>
          <w:rFonts w:hint="eastAsia" w:ascii="仿宋" w:hAnsi="仿宋" w:eastAsia="仿宋"/>
        </w:rPr>
        <w:t>我公司于2026年4月对本项目进行了外业调查，搜集到了详实可靠的调查资料。在勘测过程中，我公司派出以设计部经理为组长，资深技术顾问及各专业工程师为组员的勘测队伍，利用水准仪和RTK对全线高程和平面数据进行采集，对本项目进行了详细调查，为了全面了解本项目现有路面的状况，外业勘测期间进行了细致的调查，同时对沿线地质、水文、筑路材料、等进行了详细的调查。取得了满足规范精度要求的勘测成果，最终确定设计方案。</w:t>
      </w:r>
    </w:p>
    <w:p w14:paraId="4E45E63F">
      <w:pPr>
        <w:pStyle w:val="77"/>
        <w:rPr>
          <w:rFonts w:hint="eastAsia" w:ascii="仿宋" w:hAnsi="仿宋" w:eastAsia="仿宋"/>
        </w:rPr>
      </w:pPr>
      <w:r>
        <w:rPr>
          <w:rFonts w:hint="eastAsia" w:ascii="仿宋" w:hAnsi="仿宋" w:eastAsia="仿宋"/>
        </w:rPr>
        <w:t>内业设计过程中，本着实事求是的原则，科学合理地采用技术指标，利用Card/1、CAD等国内外先进的软件进行设计。设计人员坚持“质量第一，诚实守信”的设计理念，严格按照质量管理目标，层层把关，确保设计质量。</w:t>
      </w:r>
    </w:p>
    <w:p w14:paraId="6A9EE7B6">
      <w:pPr>
        <w:pStyle w:val="206"/>
        <w:rPr>
          <w:rFonts w:hint="eastAsia"/>
        </w:rPr>
      </w:pPr>
      <w:r>
        <w:rPr>
          <w:rFonts w:hint="eastAsia"/>
        </w:rPr>
        <w:t>沿线水文地质条件</w:t>
      </w:r>
    </w:p>
    <w:p w14:paraId="40FCFB82">
      <w:pPr>
        <w:pStyle w:val="207"/>
        <w:ind w:firstLine="482" w:firstLineChars="200"/>
        <w:rPr>
          <w:rFonts w:hint="eastAsia"/>
        </w:rPr>
      </w:pPr>
      <w:r>
        <w:rPr>
          <w:rFonts w:hint="eastAsia"/>
        </w:rPr>
        <w:t>岩土工程地质条件</w:t>
      </w:r>
    </w:p>
    <w:p w14:paraId="6A60B72D">
      <w:pPr>
        <w:pStyle w:val="208"/>
        <w:ind w:firstLine="482" w:firstLineChars="200"/>
        <w:rPr>
          <w:rFonts w:hint="eastAsia"/>
        </w:rPr>
      </w:pPr>
      <w:r>
        <w:rPr>
          <w:rFonts w:hint="eastAsia"/>
        </w:rPr>
        <w:t>区域工程地质条件</w:t>
      </w:r>
    </w:p>
    <w:p w14:paraId="29536BA3">
      <w:pPr>
        <w:pStyle w:val="77"/>
        <w:spacing w:before="120" w:beforeLines="50"/>
        <w:rPr>
          <w:rFonts w:hint="eastAsia" w:ascii="仿宋" w:hAnsi="仿宋" w:eastAsia="仿宋"/>
        </w:rPr>
      </w:pPr>
      <w:r>
        <w:rPr>
          <w:rFonts w:hint="eastAsia" w:ascii="仿宋" w:hAnsi="仿宋" w:eastAsia="仿宋"/>
        </w:rPr>
        <w:t>长白县座落在长白向斜的东端鸭绿江大断裂上，向东与朝鲜惠山一利源坳陷相接，断裂构造发育，皱褶复杂，向斜核部由石炭、二叠系地层组成，向南依次出现奥陶系、寒武系、震旦系地层，向北翼多被中生代、新生代地层覆盖，马鹿沟镇座落在中生代侏罗系石灰岩地层分布区，此场区上部为第四系填土，中部为卵石，下部为玄武岩。</w:t>
      </w:r>
    </w:p>
    <w:p w14:paraId="4FB1DA01">
      <w:pPr>
        <w:pStyle w:val="77"/>
        <w:spacing w:before="120" w:beforeLines="50"/>
        <w:rPr>
          <w:rFonts w:hint="eastAsia" w:ascii="仿宋" w:hAnsi="仿宋" w:eastAsia="仿宋"/>
        </w:rPr>
      </w:pPr>
      <w:r>
        <w:rPr>
          <w:rFonts w:hint="eastAsia" w:ascii="仿宋" w:hAnsi="仿宋" w:eastAsia="仿宋"/>
        </w:rPr>
        <w:t>场地区内无区域性大断裂构造，无断层，场地相对稳定。</w:t>
      </w:r>
    </w:p>
    <w:p w14:paraId="6D2C0F60">
      <w:pPr>
        <w:pStyle w:val="208"/>
        <w:ind w:firstLine="482" w:firstLineChars="200"/>
        <w:rPr>
          <w:rFonts w:hint="eastAsia"/>
        </w:rPr>
      </w:pPr>
      <w:r>
        <w:rPr>
          <w:rFonts w:hint="eastAsia"/>
        </w:rPr>
        <w:t>区域气候条件</w:t>
      </w:r>
    </w:p>
    <w:p w14:paraId="4E56C30C">
      <w:pPr>
        <w:pStyle w:val="77"/>
        <w:spacing w:before="120" w:beforeLines="50"/>
        <w:rPr>
          <w:rFonts w:hint="eastAsia" w:ascii="仿宋" w:hAnsi="仿宋" w:eastAsia="仿宋"/>
        </w:rPr>
      </w:pPr>
      <w:r>
        <w:rPr>
          <w:rFonts w:hint="eastAsia" w:ascii="仿宋" w:hAnsi="仿宋" w:eastAsia="仿宋"/>
        </w:rPr>
        <w:t>长白镇地区气候属于北温带大陆性半湿润-半干旱季风气候，春季干旱多风，夏季炎热多雨，冬季寒冷干燥。年平均气温5.07℃，最高气温36.5℃，最低气温-35.1℃，多年平均降水量830.84mm,多年最大降水量1238.4mm，多年最小降水量612.4mm，多年日最大降水量126.0mm，冬季多为偏西风，夏季多东南风，春季盛行西北风，风速变化明显，春季平均风速3.4m/秒，夏季1.8 m/秒，秋季2.3 m /秒，冬季2.3 m /秒，降水量不稳定，季节性变化大，年平均降水量为585.1mm，雨季一般为6-8月份，雨季降水量一般占全年降水量的60%，历年日最大降水量为93.5mm，长白地区日照时数2502.5小时，多年平均冻土深度为0.95m，最大冻土深度为1.73m。</w:t>
      </w:r>
    </w:p>
    <w:p w14:paraId="1AA0B5C2">
      <w:pPr>
        <w:pStyle w:val="208"/>
        <w:ind w:firstLine="482" w:firstLineChars="200"/>
        <w:rPr>
          <w:rFonts w:hint="eastAsia"/>
        </w:rPr>
      </w:pPr>
      <w:r>
        <w:rPr>
          <w:rFonts w:hint="eastAsia"/>
        </w:rPr>
        <w:t>区域水文地质条件</w:t>
      </w:r>
    </w:p>
    <w:p w14:paraId="1DBC94F6">
      <w:pPr>
        <w:pStyle w:val="77"/>
        <w:spacing w:before="120" w:beforeLines="50"/>
        <w:rPr>
          <w:rFonts w:hint="eastAsia" w:ascii="仿宋" w:hAnsi="仿宋" w:eastAsia="仿宋"/>
        </w:rPr>
      </w:pPr>
      <w:r>
        <w:rPr>
          <w:rFonts w:hint="eastAsia" w:ascii="仿宋" w:hAnsi="仿宋" w:eastAsia="仿宋"/>
        </w:rPr>
        <w:t>地表水：梨树沟村、农场村境内地表河流主要是梨树沟河和孔隙水，梨树沟河分布在该场区梨树沟村道路东部，近邻河道，孔隙水分布在去农场村道路涵洞附近，由于受北高南低地形大势的影响，地下水多呈南北走向，最终流入鸭绿江。</w:t>
      </w:r>
    </w:p>
    <w:p w14:paraId="66AB6CBE">
      <w:pPr>
        <w:pStyle w:val="77"/>
        <w:spacing w:before="120" w:beforeLines="50"/>
        <w:rPr>
          <w:rFonts w:hint="eastAsia" w:ascii="仿宋" w:hAnsi="仿宋" w:eastAsia="仿宋"/>
        </w:rPr>
      </w:pPr>
      <w:r>
        <w:rPr>
          <w:rFonts w:hint="eastAsia" w:ascii="仿宋" w:hAnsi="仿宋" w:eastAsia="仿宋"/>
        </w:rPr>
        <w:t>地下水：拟建场地地下水主要有一类，为第四系潜水，赋存在卵石中，其主要补给来源为大气降水及梨树沟河水、孔隙水补给，通过径流或地面蒸发，最终流入鸭绿江中。</w:t>
      </w:r>
    </w:p>
    <w:p w14:paraId="71856FDC">
      <w:pPr>
        <w:pStyle w:val="77"/>
        <w:spacing w:before="120" w:beforeLines="50"/>
        <w:rPr>
          <w:rFonts w:hint="eastAsia" w:ascii="仿宋" w:hAnsi="仿宋" w:eastAsia="仿宋"/>
        </w:rPr>
      </w:pPr>
      <w:r>
        <w:rPr>
          <w:rFonts w:hint="eastAsia" w:ascii="仿宋" w:hAnsi="仿宋" w:eastAsia="仿宋"/>
        </w:rPr>
        <w:t>村路挡墙东侧存在河道，河道宽约20m，丰水期河水补给地下水，枯水期地下水补给河水。</w:t>
      </w:r>
    </w:p>
    <w:p w14:paraId="6AC3D9C0">
      <w:pPr>
        <w:pStyle w:val="207"/>
        <w:ind w:firstLine="482" w:firstLineChars="200"/>
        <w:rPr>
          <w:rFonts w:hint="eastAsia"/>
        </w:rPr>
      </w:pPr>
      <w:r>
        <w:rPr>
          <w:rFonts w:hint="eastAsia"/>
        </w:rPr>
        <w:t>场地条件</w:t>
      </w:r>
    </w:p>
    <w:p w14:paraId="0DF2AA5C">
      <w:pPr>
        <w:pStyle w:val="208"/>
        <w:ind w:firstLine="482" w:firstLineChars="200"/>
        <w:rPr>
          <w:rFonts w:hint="eastAsia"/>
        </w:rPr>
      </w:pPr>
      <w:r>
        <w:rPr>
          <w:rFonts w:hint="eastAsia"/>
        </w:rPr>
        <w:t>场地地形地貌条件</w:t>
      </w:r>
    </w:p>
    <w:p w14:paraId="3364EC4E">
      <w:pPr>
        <w:pStyle w:val="77"/>
        <w:spacing w:before="120" w:beforeLines="50"/>
        <w:jc w:val="both"/>
        <w:rPr>
          <w:rFonts w:hint="eastAsia" w:ascii="仿宋" w:hAnsi="仿宋" w:eastAsia="仿宋"/>
        </w:rPr>
      </w:pPr>
      <w:r>
        <w:rPr>
          <w:rFonts w:hint="eastAsia" w:ascii="仿宋" w:hAnsi="仿宋" w:eastAsia="仿宋"/>
        </w:rPr>
        <w:t>拟建工程场地地貌单元道路挡墙属于梨树道沟河一级阶地，涵洞属于梨树沟河二级阶地，拟建道路挡墙台地为河道边坡，沿线主要为村路，涵洞为道路涵洞，沿线为村路，孔口高程为922.98-1107.16m，孔口最大高差为184.18m，测量系统为2000坐标系，大地高程，高程基准点城市地形图查取，用已知点引测，我公司采用皮尺测距，水准仪高程测量的方式进行勘探点测放，高程基准点道路挡墙BM（挡墙931.41m，）均设在该场区村路旁边民宅东北角地平面上，高程基准点BM（涵洞1106.49m）设在该场区村路中心地平面上，详见勘探点平面布置图。</w:t>
      </w:r>
    </w:p>
    <w:p w14:paraId="3BB825D3">
      <w:pPr>
        <w:pStyle w:val="208"/>
        <w:ind w:firstLine="482" w:firstLineChars="200"/>
        <w:rPr>
          <w:rFonts w:hint="eastAsia"/>
        </w:rPr>
      </w:pPr>
      <w:r>
        <w:rPr>
          <w:rFonts w:hint="eastAsia"/>
        </w:rPr>
        <w:t>场地地层岩性及分布特征</w:t>
      </w:r>
    </w:p>
    <w:p w14:paraId="620F6D64">
      <w:pPr>
        <w:pStyle w:val="77"/>
        <w:spacing w:before="120" w:beforeLines="50"/>
        <w:rPr>
          <w:rFonts w:hint="eastAsia" w:ascii="仿宋" w:hAnsi="仿宋" w:eastAsia="仿宋"/>
        </w:rPr>
      </w:pPr>
      <w:r>
        <w:rPr>
          <w:rFonts w:hint="eastAsia" w:ascii="仿宋" w:hAnsi="仿宋" w:eastAsia="仿宋"/>
        </w:rPr>
        <w:t>本次勘察的最大深度8.00m，场地由四套地层组成，上部为素填土，中部为含砾黏土、卵石，下部为玄武岩，岩土性质变化不大，按其形成年代、成因类型及工程性质共划分为4个主层，其岩土特征及基本分布规律，现按钻探揭露的先后顺序分述如下：</w:t>
      </w:r>
    </w:p>
    <w:p w14:paraId="04E47E88">
      <w:pPr>
        <w:pStyle w:val="77"/>
        <w:spacing w:before="120" w:beforeLines="50"/>
        <w:rPr>
          <w:rFonts w:hint="eastAsia" w:ascii="仿宋" w:hAnsi="仿宋" w:eastAsia="仿宋"/>
        </w:rPr>
      </w:pPr>
      <w:r>
        <w:rPr>
          <w:rFonts w:hint="eastAsia" w:ascii="仿宋" w:hAnsi="仿宋" w:eastAsia="仿宋"/>
        </w:rPr>
        <w:t>第①层 冲填土（Q4ml）：灰黑色，碎石土为主，含少量粘性土，该土层大部分结构松散，稍湿，修建道路所填，2024年水毁已坍塌，未完成自重固结，层厚为0.50-1.00m，层底标高为922.38m～1106.16m。</w:t>
      </w:r>
    </w:p>
    <w:p w14:paraId="4CD6DBC8">
      <w:pPr>
        <w:pStyle w:val="77"/>
        <w:spacing w:before="120" w:beforeLines="50"/>
        <w:rPr>
          <w:rFonts w:hint="eastAsia" w:ascii="仿宋" w:hAnsi="仿宋" w:eastAsia="仿宋"/>
        </w:rPr>
      </w:pPr>
      <w:r>
        <w:rPr>
          <w:rFonts w:hint="eastAsia" w:ascii="仿宋" w:hAnsi="仿宋" w:eastAsia="仿宋"/>
        </w:rPr>
        <w:t>第②层 含砾黏土（Q4dl），土黄色，稍湿，松散，土质均匀，含砾，有粘性，中压缩性，韧性中等，Ⅲ级土，为残积土，显著扰动，大于2mm的颗粒质量大于总质量的20%，此层仅分布在该场区涵洞区域，层厚5.50m～7.00m，层底标高为1097.48m～1099.16。</w:t>
      </w:r>
    </w:p>
    <w:p w14:paraId="69BA6038">
      <w:pPr>
        <w:pStyle w:val="77"/>
        <w:spacing w:before="120" w:beforeLines="50"/>
        <w:rPr>
          <w:rFonts w:hint="eastAsia" w:ascii="仿宋" w:hAnsi="仿宋" w:eastAsia="仿宋"/>
        </w:rPr>
      </w:pPr>
      <w:r>
        <w:rPr>
          <w:rFonts w:hint="eastAsia" w:ascii="仿宋" w:hAnsi="仿宋" w:eastAsia="仿宋"/>
        </w:rPr>
        <w:t>第③卵石Q4al：灰黑色，稍密-中密，湿，砾石成分主要是石灰岩，另有少量安山岩，磨圆度较好，呈亚园状，砾径一般20-40mm，最大100mm以上，大于20mm的砾石含量约占总重量的55%，充填物主要是砾砂，粒径小于0.075mm的颗粒含量约占总质量的15%，此层分布全区，河流冲积形成，层厚1.50m～3.00m，层底标高为920.48m～935.17m。</w:t>
      </w:r>
    </w:p>
    <w:p w14:paraId="4081C0BD">
      <w:pPr>
        <w:pStyle w:val="77"/>
        <w:spacing w:before="120" w:beforeLines="50"/>
        <w:jc w:val="both"/>
        <w:rPr>
          <w:rFonts w:hint="eastAsia" w:ascii="仿宋" w:hAnsi="仿宋" w:eastAsia="仿宋"/>
        </w:rPr>
      </w:pPr>
      <w:r>
        <w:rPr>
          <w:rFonts w:hint="eastAsia" w:ascii="仿宋" w:hAnsi="仿宋" w:eastAsia="仿宋"/>
        </w:rPr>
        <w:t>第④层强风化玄武岩β：灰黑色，表层强风化，结构大部分破坏，有残余结构强度，节理发育，呈块状构造，岩石质量指标RQD极差；较软岩，较破碎，岩体基本质量等级Ⅳ，未见空洞、临空面，此层基本分布全区，揭露层厚4.30m。</w:t>
      </w:r>
    </w:p>
    <w:p w14:paraId="1A9807A3">
      <w:pPr>
        <w:pStyle w:val="207"/>
        <w:ind w:firstLine="482" w:firstLineChars="200"/>
        <w:rPr>
          <w:rFonts w:hint="eastAsia"/>
        </w:rPr>
      </w:pPr>
      <w:r>
        <w:rPr>
          <w:rFonts w:hint="eastAsia"/>
        </w:rPr>
        <w:t>地基的均匀性和稳定性评价</w:t>
      </w:r>
    </w:p>
    <w:p w14:paraId="1824AF3C">
      <w:pPr>
        <w:pStyle w:val="77"/>
        <w:spacing w:before="120" w:beforeLines="50"/>
        <w:rPr>
          <w:rFonts w:hint="eastAsia" w:ascii="仿宋" w:hAnsi="仿宋" w:eastAsia="仿宋"/>
        </w:rPr>
      </w:pPr>
      <w:r>
        <w:rPr>
          <w:rFonts w:hint="eastAsia" w:ascii="仿宋" w:hAnsi="仿宋" w:eastAsia="仿宋"/>
        </w:rPr>
        <w:t>第①层 冲填土：该土层成分复杂，结构松散，土质不均匀，故判定该层均匀性差，稳定性差，埋深浅，不宜做挡墙基础持力层，建议挖除；</w:t>
      </w:r>
    </w:p>
    <w:p w14:paraId="52635102">
      <w:pPr>
        <w:pStyle w:val="77"/>
        <w:spacing w:before="120" w:beforeLines="50"/>
        <w:rPr>
          <w:rFonts w:hint="eastAsia" w:ascii="仿宋" w:hAnsi="仿宋" w:eastAsia="仿宋"/>
        </w:rPr>
      </w:pPr>
      <w:r>
        <w:rPr>
          <w:rFonts w:hint="eastAsia" w:ascii="仿宋" w:hAnsi="仿宋" w:eastAsia="仿宋"/>
        </w:rPr>
        <w:t>第②层 含砾黏土：该土层均匀性较好，工程性质和稳定性较好，可做涵洞基础持力层。</w:t>
      </w:r>
    </w:p>
    <w:p w14:paraId="4727AD1E">
      <w:pPr>
        <w:pStyle w:val="77"/>
        <w:spacing w:before="120" w:beforeLines="50"/>
        <w:rPr>
          <w:rFonts w:hint="eastAsia" w:ascii="仿宋" w:hAnsi="仿宋" w:eastAsia="仿宋"/>
        </w:rPr>
      </w:pPr>
      <w:r>
        <w:rPr>
          <w:rFonts w:hint="eastAsia" w:ascii="仿宋" w:hAnsi="仿宋" w:eastAsia="仿宋"/>
        </w:rPr>
        <w:t>第③层卵石：该土层均匀性较好，工程性质和稳定性较好，若满足设计要求，可做挡墙基础持力层。</w:t>
      </w:r>
    </w:p>
    <w:p w14:paraId="27213639">
      <w:pPr>
        <w:pStyle w:val="77"/>
        <w:spacing w:before="120" w:beforeLines="50"/>
        <w:jc w:val="both"/>
        <w:rPr>
          <w:rFonts w:hint="eastAsia" w:ascii="仿宋" w:hAnsi="仿宋" w:eastAsia="仿宋"/>
        </w:rPr>
      </w:pPr>
      <w:r>
        <w:rPr>
          <w:rFonts w:hint="eastAsia" w:ascii="仿宋" w:hAnsi="仿宋" w:eastAsia="仿宋"/>
        </w:rPr>
        <w:t>第④层强风化玄武岩：该土层均匀性较好，工程性质和稳定性较好，可做挡墙基础最佳持力层。</w:t>
      </w:r>
    </w:p>
    <w:p w14:paraId="4029E061">
      <w:pPr>
        <w:pStyle w:val="206"/>
        <w:rPr>
          <w:rFonts w:hint="eastAsia"/>
        </w:rPr>
      </w:pPr>
      <w:r>
        <w:rPr>
          <w:rFonts w:hint="eastAsia"/>
        </w:rPr>
        <w:t>新技术采用及计算机运用情况</w:t>
      </w:r>
    </w:p>
    <w:p w14:paraId="2191C182">
      <w:pPr>
        <w:pStyle w:val="77"/>
        <w:spacing w:before="120" w:beforeLines="50"/>
        <w:jc w:val="both"/>
        <w:rPr>
          <w:rFonts w:hint="eastAsia" w:ascii="仿宋" w:hAnsi="仿宋" w:eastAsia="仿宋"/>
        </w:rPr>
      </w:pPr>
      <w:r>
        <w:rPr>
          <w:rFonts w:hint="eastAsia" w:ascii="仿宋" w:hAnsi="仿宋" w:eastAsia="仿宋"/>
        </w:rPr>
        <w:t>在本项目的勘测设计过程中，采用了以下先进技术，以保证勘测设计质量：</w:t>
      </w:r>
    </w:p>
    <w:p w14:paraId="6FB94AA7">
      <w:pPr>
        <w:pStyle w:val="77"/>
        <w:spacing w:before="120" w:beforeLines="50"/>
        <w:jc w:val="both"/>
        <w:rPr>
          <w:rFonts w:hint="eastAsia" w:ascii="仿宋" w:hAnsi="仿宋" w:eastAsia="仿宋"/>
        </w:rPr>
      </w:pPr>
      <w:r>
        <w:rPr>
          <w:rFonts w:hint="eastAsia" w:ascii="仿宋" w:hAnsi="仿宋" w:eastAsia="仿宋"/>
        </w:rPr>
        <w:t>1）、路线设计中，利用德国IB＆T公司的CARD/1软件及路线CAD进行路线的平、纵面线型设计和优化，提高了定线速度、精度，保证了线位的合理性和经济性。</w:t>
      </w:r>
    </w:p>
    <w:p w14:paraId="3271CBE0">
      <w:pPr>
        <w:pStyle w:val="77"/>
        <w:spacing w:before="120" w:beforeLines="50"/>
        <w:jc w:val="both"/>
        <w:rPr>
          <w:rFonts w:hint="eastAsia" w:ascii="仿宋" w:hAnsi="仿宋" w:eastAsia="仿宋"/>
        </w:rPr>
      </w:pPr>
      <w:r>
        <w:rPr>
          <w:rFonts w:hint="eastAsia" w:ascii="仿宋" w:hAnsi="仿宋" w:eastAsia="仿宋"/>
        </w:rPr>
        <w:t>2）、外业中的测量数据全部利用全球卫星定位系统（GPS）、全站仪和自动安平水准仪进行采集，路线平、纵、横测量数据及相应的图表，全部采用计算机技术完成。</w:t>
      </w:r>
    </w:p>
    <w:p w14:paraId="52A716BB">
      <w:pPr>
        <w:pStyle w:val="77"/>
        <w:spacing w:before="120" w:beforeLines="50"/>
        <w:jc w:val="both"/>
        <w:rPr>
          <w:rFonts w:hint="eastAsia" w:ascii="仿宋" w:hAnsi="仿宋" w:eastAsia="仿宋"/>
        </w:rPr>
      </w:pPr>
      <w:r>
        <w:rPr>
          <w:rFonts w:hint="eastAsia" w:ascii="仿宋" w:hAnsi="仿宋" w:eastAsia="仿宋"/>
        </w:rPr>
        <w:t>3）、采用钻探、触探等办法进行工程地质、水文地质勘探。</w:t>
      </w:r>
    </w:p>
    <w:p w14:paraId="6F1FF346">
      <w:pPr>
        <w:pStyle w:val="77"/>
        <w:spacing w:before="120" w:beforeLines="50"/>
        <w:jc w:val="both"/>
        <w:rPr>
          <w:rFonts w:hint="eastAsia" w:ascii="仿宋" w:hAnsi="仿宋" w:eastAsia="仿宋"/>
        </w:rPr>
      </w:pPr>
      <w:r>
        <w:rPr>
          <w:rFonts w:hint="eastAsia" w:ascii="仿宋" w:hAnsi="仿宋" w:eastAsia="仿宋"/>
        </w:rPr>
        <w:t>4）、利用扫描仪及计算机绘制平面图和占地图等。</w:t>
      </w:r>
    </w:p>
    <w:p w14:paraId="37C4C17C">
      <w:pPr>
        <w:pStyle w:val="77"/>
        <w:spacing w:before="120" w:beforeLines="50"/>
        <w:jc w:val="both"/>
        <w:rPr>
          <w:rFonts w:hint="eastAsia" w:ascii="仿宋" w:hAnsi="仿宋" w:eastAsia="仿宋"/>
        </w:rPr>
      </w:pPr>
      <w:r>
        <w:rPr>
          <w:rFonts w:hint="eastAsia" w:ascii="仿宋" w:hAnsi="仿宋" w:eastAsia="仿宋"/>
        </w:rPr>
        <w:t>5）、利用桥梁博士、桥梁通及桥涵CAD设计系统等软件进行桥涵设计。</w:t>
      </w:r>
    </w:p>
    <w:p w14:paraId="123F9208">
      <w:pPr>
        <w:pStyle w:val="77"/>
        <w:spacing w:before="120" w:beforeLines="50"/>
        <w:jc w:val="both"/>
        <w:rPr>
          <w:rFonts w:hint="eastAsia" w:ascii="仿宋" w:hAnsi="仿宋" w:eastAsia="仿宋"/>
        </w:rPr>
      </w:pPr>
      <w:r>
        <w:rPr>
          <w:rFonts w:hint="eastAsia" w:ascii="仿宋" w:hAnsi="仿宋" w:eastAsia="仿宋"/>
        </w:rPr>
        <w:t>6）、全部图纸利用计算机进行绘制、出版。</w:t>
      </w:r>
    </w:p>
    <w:p w14:paraId="2BD20A89">
      <w:pPr>
        <w:pStyle w:val="77"/>
        <w:spacing w:before="120" w:beforeLines="50"/>
        <w:jc w:val="both"/>
        <w:rPr>
          <w:rFonts w:hint="eastAsia" w:ascii="仿宋" w:hAnsi="仿宋" w:eastAsia="仿宋"/>
        </w:rPr>
      </w:pPr>
      <w:r>
        <w:rPr>
          <w:rFonts w:hint="eastAsia" w:ascii="仿宋" w:hAnsi="仿宋" w:eastAsia="仿宋"/>
        </w:rPr>
        <w:t>7）、利用《同望公路工程造价管理系统》WCOST2000系统完成设计预算编制工作。</w:t>
      </w:r>
    </w:p>
    <w:p w14:paraId="33EAE424">
      <w:pPr>
        <w:pStyle w:val="206"/>
        <w:rPr>
          <w:rFonts w:hint="eastAsia"/>
        </w:rPr>
      </w:pPr>
      <w:r>
        <w:rPr>
          <w:rFonts w:hint="eastAsia"/>
        </w:rPr>
        <w:t>路线设计</w:t>
      </w:r>
    </w:p>
    <w:p w14:paraId="553EFFA9">
      <w:pPr>
        <w:pStyle w:val="207"/>
        <w:ind w:firstLine="482" w:firstLineChars="200"/>
        <w:rPr>
          <w:rFonts w:hint="eastAsia"/>
        </w:rPr>
      </w:pPr>
      <w:r>
        <w:rPr>
          <w:rFonts w:hint="eastAsia"/>
        </w:rPr>
        <w:t>路线平面、纵断面说明</w:t>
      </w:r>
    </w:p>
    <w:p w14:paraId="6CE2D447">
      <w:pPr>
        <w:pStyle w:val="208"/>
        <w:ind w:firstLine="482" w:firstLineChars="200"/>
        <w:rPr>
          <w:rFonts w:hint="eastAsia"/>
        </w:rPr>
      </w:pPr>
      <w:r>
        <w:rPr>
          <w:rFonts w:hint="eastAsia"/>
        </w:rPr>
        <w:t>设计标准</w:t>
      </w:r>
    </w:p>
    <w:p w14:paraId="54F6987C">
      <w:pPr>
        <w:pStyle w:val="77"/>
        <w:spacing w:before="120" w:beforeLines="50"/>
        <w:rPr>
          <w:rFonts w:hint="eastAsia" w:ascii="仿宋" w:hAnsi="仿宋" w:eastAsia="仿宋"/>
        </w:rPr>
      </w:pPr>
      <w:bookmarkStart w:id="0" w:name="_Hlk224649033"/>
      <w:r>
        <w:rPr>
          <w:rFonts w:hint="eastAsia" w:ascii="仿宋" w:hAnsi="仿宋" w:eastAsia="仿宋"/>
        </w:rPr>
        <w:t>根据设计委托书，本项目全线采用四级公路标准，设计速度</w:t>
      </w:r>
      <w:r>
        <w:rPr>
          <w:rFonts w:ascii="仿宋" w:hAnsi="仿宋" w:eastAsia="仿宋"/>
        </w:rPr>
        <w:t>20</w:t>
      </w:r>
      <w:r>
        <w:rPr>
          <w:rFonts w:hint="eastAsia" w:ascii="仿宋" w:hAnsi="仿宋" w:eastAsia="仿宋"/>
        </w:rPr>
        <w:t>Km/h，路面宽4</w:t>
      </w:r>
      <w:r>
        <w:rPr>
          <w:rFonts w:ascii="仿宋" w:hAnsi="仿宋" w:eastAsia="仿宋"/>
        </w:rPr>
        <w:t>.5</w:t>
      </w:r>
      <w:r>
        <w:rPr>
          <w:rFonts w:hint="eastAsia" w:ascii="仿宋" w:hAnsi="仿宋" w:eastAsia="仿宋"/>
        </w:rPr>
        <w:t>米，土路肩宽2×0.5米，路拱横坡双向</w:t>
      </w:r>
      <w:r>
        <w:rPr>
          <w:rFonts w:ascii="仿宋" w:hAnsi="仿宋" w:eastAsia="仿宋"/>
        </w:rPr>
        <w:t>1</w:t>
      </w:r>
      <w:r>
        <w:rPr>
          <w:rFonts w:hint="eastAsia" w:ascii="仿宋" w:hAnsi="仿宋" w:eastAsia="仿宋"/>
        </w:rPr>
        <w:t>.5％，土路肩横坡2</w:t>
      </w:r>
      <w:r>
        <w:rPr>
          <w:rFonts w:ascii="仿宋" w:hAnsi="仿宋" w:eastAsia="仿宋"/>
        </w:rPr>
        <w:t>.5%</w:t>
      </w:r>
      <w:r>
        <w:rPr>
          <w:rFonts w:hint="eastAsia" w:ascii="仿宋" w:hAnsi="仿宋" w:eastAsia="仿宋"/>
        </w:rPr>
        <w:t>。</w:t>
      </w:r>
    </w:p>
    <w:p w14:paraId="1344AE15">
      <w:pPr>
        <w:pStyle w:val="212"/>
        <w:rPr>
          <w:rFonts w:hint="eastAsia"/>
        </w:rPr>
      </w:pPr>
      <w:r>
        <w:rPr>
          <w:rFonts w:hint="eastAsia"/>
        </w:rPr>
        <w:t>主要技术指标表</w:t>
      </w:r>
    </w:p>
    <w:tbl>
      <w:tblPr>
        <w:tblStyle w:val="27"/>
        <w:tblW w:w="5000" w:type="pct"/>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7"/>
        <w:gridCol w:w="3149"/>
        <w:gridCol w:w="774"/>
        <w:gridCol w:w="2557"/>
        <w:gridCol w:w="2569"/>
      </w:tblGrid>
      <w:tr w14:paraId="14D6D33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442" w:type="pct"/>
            <w:shd w:val="clear" w:color="auto" w:fill="D9E2F3" w:themeFill="accent1" w:themeFillTint="33"/>
            <w:vAlign w:val="center"/>
          </w:tcPr>
          <w:p w14:paraId="4CD717B9">
            <w:pPr>
              <w:pStyle w:val="218"/>
              <w:rPr>
                <w:rFonts w:hint="eastAsia" w:ascii="仿宋" w:hAnsi="仿宋" w:eastAsia="仿宋"/>
                <w:szCs w:val="21"/>
              </w:rPr>
            </w:pPr>
            <w:r>
              <w:rPr>
                <w:rFonts w:hint="eastAsia" w:ascii="仿宋" w:hAnsi="仿宋" w:eastAsia="仿宋"/>
                <w:szCs w:val="21"/>
              </w:rPr>
              <w:t>序号</w:t>
            </w:r>
          </w:p>
        </w:tc>
        <w:tc>
          <w:tcPr>
            <w:tcW w:w="1586" w:type="pct"/>
            <w:shd w:val="clear" w:color="auto" w:fill="D9E2F3" w:themeFill="accent1" w:themeFillTint="33"/>
            <w:vAlign w:val="center"/>
          </w:tcPr>
          <w:p w14:paraId="72B5E19B">
            <w:pPr>
              <w:pStyle w:val="218"/>
              <w:rPr>
                <w:rFonts w:hint="eastAsia" w:ascii="仿宋" w:hAnsi="仿宋" w:eastAsia="仿宋"/>
                <w:szCs w:val="21"/>
              </w:rPr>
            </w:pPr>
            <w:r>
              <w:rPr>
                <w:rFonts w:hint="eastAsia" w:ascii="仿宋" w:hAnsi="仿宋" w:eastAsia="仿宋"/>
                <w:szCs w:val="21"/>
              </w:rPr>
              <w:t>项 目</w:t>
            </w:r>
          </w:p>
        </w:tc>
        <w:tc>
          <w:tcPr>
            <w:tcW w:w="390" w:type="pct"/>
            <w:shd w:val="clear" w:color="auto" w:fill="D9E2F3" w:themeFill="accent1" w:themeFillTint="33"/>
            <w:vAlign w:val="center"/>
          </w:tcPr>
          <w:p w14:paraId="469CE980">
            <w:pPr>
              <w:pStyle w:val="218"/>
              <w:rPr>
                <w:rFonts w:hint="eastAsia" w:ascii="仿宋" w:hAnsi="仿宋" w:eastAsia="仿宋"/>
                <w:szCs w:val="21"/>
              </w:rPr>
            </w:pPr>
            <w:r>
              <w:rPr>
                <w:rFonts w:hint="eastAsia" w:ascii="仿宋" w:hAnsi="仿宋" w:eastAsia="仿宋"/>
                <w:szCs w:val="21"/>
              </w:rPr>
              <w:t>单位</w:t>
            </w:r>
          </w:p>
        </w:tc>
        <w:tc>
          <w:tcPr>
            <w:tcW w:w="1288" w:type="pct"/>
            <w:shd w:val="clear" w:color="auto" w:fill="D9E2F3" w:themeFill="accent1" w:themeFillTint="33"/>
            <w:vAlign w:val="center"/>
          </w:tcPr>
          <w:p w14:paraId="0CB6A673">
            <w:pPr>
              <w:pStyle w:val="218"/>
              <w:rPr>
                <w:rFonts w:hint="eastAsia" w:ascii="仿宋" w:hAnsi="仿宋" w:eastAsia="仿宋"/>
                <w:szCs w:val="21"/>
              </w:rPr>
            </w:pPr>
            <w:r>
              <w:rPr>
                <w:rFonts w:hint="eastAsia" w:ascii="仿宋" w:hAnsi="仿宋" w:eastAsia="仿宋"/>
                <w:szCs w:val="21"/>
              </w:rPr>
              <w:t>数量</w:t>
            </w:r>
          </w:p>
        </w:tc>
        <w:tc>
          <w:tcPr>
            <w:tcW w:w="1294" w:type="pct"/>
            <w:shd w:val="clear" w:color="auto" w:fill="D9E2F3" w:themeFill="accent1" w:themeFillTint="33"/>
            <w:vAlign w:val="center"/>
          </w:tcPr>
          <w:p w14:paraId="561C402D">
            <w:pPr>
              <w:pStyle w:val="218"/>
              <w:rPr>
                <w:rFonts w:hint="eastAsia" w:ascii="仿宋" w:hAnsi="仿宋" w:eastAsia="仿宋"/>
                <w:szCs w:val="21"/>
              </w:rPr>
            </w:pPr>
            <w:r>
              <w:rPr>
                <w:rFonts w:hint="eastAsia" w:ascii="仿宋" w:hAnsi="仿宋" w:eastAsia="仿宋"/>
                <w:szCs w:val="21"/>
              </w:rPr>
              <w:t>备 注</w:t>
            </w:r>
          </w:p>
        </w:tc>
      </w:tr>
      <w:tr w14:paraId="1A0B9AB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42" w:type="pct"/>
            <w:vMerge w:val="restart"/>
            <w:vAlign w:val="center"/>
          </w:tcPr>
          <w:p w14:paraId="1072C3A6">
            <w:pPr>
              <w:pStyle w:val="220"/>
              <w:rPr>
                <w:rFonts w:hint="eastAsia" w:ascii="仿宋" w:hAnsi="仿宋" w:eastAsia="仿宋"/>
                <w:szCs w:val="21"/>
              </w:rPr>
            </w:pPr>
            <w:r>
              <w:rPr>
                <w:rFonts w:hint="eastAsia" w:ascii="仿宋" w:hAnsi="仿宋" w:eastAsia="仿宋"/>
                <w:szCs w:val="21"/>
              </w:rPr>
              <w:t>1</w:t>
            </w:r>
          </w:p>
        </w:tc>
        <w:tc>
          <w:tcPr>
            <w:tcW w:w="1586" w:type="pct"/>
            <w:vMerge w:val="restart"/>
            <w:vAlign w:val="center"/>
          </w:tcPr>
          <w:p w14:paraId="1DC86DC8">
            <w:pPr>
              <w:pStyle w:val="220"/>
              <w:rPr>
                <w:rFonts w:hint="eastAsia" w:ascii="仿宋" w:hAnsi="仿宋" w:eastAsia="仿宋"/>
                <w:szCs w:val="21"/>
              </w:rPr>
            </w:pPr>
            <w:r>
              <w:rPr>
                <w:rFonts w:hint="eastAsia" w:ascii="仿宋" w:hAnsi="仿宋" w:eastAsia="仿宋"/>
                <w:szCs w:val="21"/>
              </w:rPr>
              <w:t>里程桩号</w:t>
            </w:r>
          </w:p>
        </w:tc>
        <w:tc>
          <w:tcPr>
            <w:tcW w:w="390" w:type="pct"/>
            <w:vAlign w:val="center"/>
          </w:tcPr>
          <w:p w14:paraId="2D284728">
            <w:pPr>
              <w:pStyle w:val="220"/>
              <w:rPr>
                <w:rFonts w:hint="eastAsia" w:ascii="仿宋" w:hAnsi="仿宋" w:eastAsia="仿宋"/>
                <w:szCs w:val="21"/>
              </w:rPr>
            </w:pPr>
          </w:p>
        </w:tc>
        <w:tc>
          <w:tcPr>
            <w:tcW w:w="1288" w:type="pct"/>
            <w:vAlign w:val="center"/>
          </w:tcPr>
          <w:p w14:paraId="7D3E9787">
            <w:pPr>
              <w:pStyle w:val="222"/>
              <w:rPr>
                <w:rFonts w:hint="eastAsia" w:ascii="仿宋" w:hAnsi="仿宋" w:eastAsia="仿宋"/>
              </w:rPr>
            </w:pPr>
            <w:r>
              <w:rPr>
                <w:rFonts w:ascii="仿宋" w:hAnsi="仿宋" w:eastAsia="仿宋"/>
              </w:rPr>
              <w:t>K</w:t>
            </w:r>
            <w:r>
              <w:rPr>
                <w:rFonts w:hint="eastAsia" w:ascii="仿宋" w:hAnsi="仿宋" w:eastAsia="仿宋"/>
              </w:rPr>
              <w:t>0</w:t>
            </w:r>
            <w:r>
              <w:rPr>
                <w:rFonts w:ascii="仿宋" w:hAnsi="仿宋" w:eastAsia="仿宋"/>
              </w:rPr>
              <w:t>+</w:t>
            </w:r>
            <w:r>
              <w:rPr>
                <w:rFonts w:hint="eastAsia" w:ascii="仿宋" w:hAnsi="仿宋" w:eastAsia="仿宋"/>
              </w:rPr>
              <w:t>000～</w:t>
            </w:r>
            <w:r>
              <w:rPr>
                <w:rFonts w:ascii="仿宋" w:hAnsi="仿宋" w:eastAsia="仿宋"/>
              </w:rPr>
              <w:t>K0+562</w:t>
            </w:r>
          </w:p>
        </w:tc>
        <w:tc>
          <w:tcPr>
            <w:tcW w:w="1294" w:type="pct"/>
            <w:vAlign w:val="center"/>
          </w:tcPr>
          <w:p w14:paraId="6548199D">
            <w:pPr>
              <w:pStyle w:val="220"/>
              <w:rPr>
                <w:rFonts w:hint="eastAsia" w:ascii="仿宋" w:hAnsi="仿宋" w:eastAsia="仿宋"/>
                <w:szCs w:val="21"/>
              </w:rPr>
            </w:pPr>
            <w:r>
              <w:rPr>
                <w:rFonts w:hint="eastAsia" w:ascii="仿宋" w:hAnsi="仿宋" w:eastAsia="仿宋"/>
                <w:szCs w:val="21"/>
              </w:rPr>
              <w:t>路线1</w:t>
            </w:r>
          </w:p>
        </w:tc>
      </w:tr>
      <w:tr w14:paraId="5220BE4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42" w:type="pct"/>
            <w:vMerge w:val="continue"/>
            <w:vAlign w:val="center"/>
          </w:tcPr>
          <w:p w14:paraId="4A3C246B">
            <w:pPr>
              <w:pStyle w:val="220"/>
              <w:rPr>
                <w:rFonts w:hint="eastAsia" w:ascii="仿宋" w:hAnsi="仿宋" w:eastAsia="仿宋"/>
                <w:szCs w:val="21"/>
              </w:rPr>
            </w:pPr>
          </w:p>
        </w:tc>
        <w:tc>
          <w:tcPr>
            <w:tcW w:w="1586" w:type="pct"/>
            <w:vMerge w:val="continue"/>
            <w:vAlign w:val="center"/>
          </w:tcPr>
          <w:p w14:paraId="004DFBF6">
            <w:pPr>
              <w:pStyle w:val="220"/>
              <w:rPr>
                <w:rFonts w:hint="eastAsia" w:ascii="仿宋" w:hAnsi="仿宋" w:eastAsia="仿宋"/>
                <w:szCs w:val="21"/>
              </w:rPr>
            </w:pPr>
          </w:p>
        </w:tc>
        <w:tc>
          <w:tcPr>
            <w:tcW w:w="390" w:type="pct"/>
            <w:vAlign w:val="center"/>
          </w:tcPr>
          <w:p w14:paraId="4AC7ACBC">
            <w:pPr>
              <w:pStyle w:val="220"/>
              <w:rPr>
                <w:rFonts w:hint="eastAsia" w:ascii="仿宋" w:hAnsi="仿宋" w:eastAsia="仿宋"/>
                <w:szCs w:val="21"/>
              </w:rPr>
            </w:pPr>
          </w:p>
        </w:tc>
        <w:tc>
          <w:tcPr>
            <w:tcW w:w="1288" w:type="pct"/>
            <w:vAlign w:val="center"/>
          </w:tcPr>
          <w:p w14:paraId="693A941E">
            <w:pPr>
              <w:pStyle w:val="222"/>
              <w:rPr>
                <w:rFonts w:hint="eastAsia" w:ascii="仿宋" w:hAnsi="仿宋" w:eastAsia="仿宋"/>
              </w:rPr>
            </w:pPr>
            <w:r>
              <w:rPr>
                <w:rFonts w:ascii="仿宋" w:hAnsi="仿宋" w:eastAsia="仿宋"/>
              </w:rPr>
              <w:t>K</w:t>
            </w:r>
            <w:r>
              <w:rPr>
                <w:rFonts w:hint="eastAsia" w:ascii="仿宋" w:hAnsi="仿宋" w:eastAsia="仿宋"/>
              </w:rPr>
              <w:t>0</w:t>
            </w:r>
            <w:r>
              <w:rPr>
                <w:rFonts w:ascii="仿宋" w:hAnsi="仿宋" w:eastAsia="仿宋"/>
              </w:rPr>
              <w:t>+</w:t>
            </w:r>
            <w:r>
              <w:rPr>
                <w:rFonts w:hint="eastAsia" w:ascii="仿宋" w:hAnsi="仿宋" w:eastAsia="仿宋"/>
              </w:rPr>
              <w:t>000～</w:t>
            </w:r>
            <w:r>
              <w:rPr>
                <w:rFonts w:ascii="仿宋" w:hAnsi="仿宋" w:eastAsia="仿宋"/>
              </w:rPr>
              <w:t>K</w:t>
            </w:r>
            <w:r>
              <w:rPr>
                <w:rFonts w:hint="eastAsia" w:ascii="仿宋" w:hAnsi="仿宋" w:eastAsia="仿宋"/>
              </w:rPr>
              <w:t>0+0</w:t>
            </w:r>
            <w:r>
              <w:rPr>
                <w:rFonts w:ascii="仿宋" w:hAnsi="仿宋" w:eastAsia="仿宋"/>
              </w:rPr>
              <w:t>10</w:t>
            </w:r>
          </w:p>
        </w:tc>
        <w:tc>
          <w:tcPr>
            <w:tcW w:w="1294" w:type="pct"/>
            <w:vAlign w:val="center"/>
          </w:tcPr>
          <w:p w14:paraId="075139BD">
            <w:pPr>
              <w:pStyle w:val="220"/>
              <w:rPr>
                <w:rFonts w:hint="eastAsia" w:ascii="仿宋" w:hAnsi="仿宋" w:eastAsia="仿宋"/>
                <w:szCs w:val="21"/>
              </w:rPr>
            </w:pPr>
            <w:r>
              <w:rPr>
                <w:rFonts w:hint="eastAsia" w:ascii="仿宋" w:hAnsi="仿宋" w:eastAsia="仿宋"/>
                <w:szCs w:val="21"/>
              </w:rPr>
              <w:t>路线</w:t>
            </w:r>
            <w:r>
              <w:rPr>
                <w:rFonts w:ascii="仿宋" w:hAnsi="仿宋" w:eastAsia="仿宋"/>
                <w:szCs w:val="21"/>
              </w:rPr>
              <w:t>2</w:t>
            </w:r>
          </w:p>
        </w:tc>
      </w:tr>
      <w:tr w14:paraId="17AB250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42" w:type="pct"/>
            <w:vMerge w:val="continue"/>
            <w:vAlign w:val="center"/>
          </w:tcPr>
          <w:p w14:paraId="4D30B9F4">
            <w:pPr>
              <w:pStyle w:val="220"/>
              <w:rPr>
                <w:rFonts w:hint="eastAsia" w:ascii="仿宋" w:hAnsi="仿宋" w:eastAsia="仿宋"/>
                <w:szCs w:val="21"/>
              </w:rPr>
            </w:pPr>
          </w:p>
        </w:tc>
        <w:tc>
          <w:tcPr>
            <w:tcW w:w="1586" w:type="pct"/>
            <w:vMerge w:val="continue"/>
            <w:vAlign w:val="center"/>
          </w:tcPr>
          <w:p w14:paraId="615AB1C3">
            <w:pPr>
              <w:pStyle w:val="220"/>
              <w:rPr>
                <w:rFonts w:hint="eastAsia" w:ascii="仿宋" w:hAnsi="仿宋" w:eastAsia="仿宋"/>
                <w:szCs w:val="21"/>
              </w:rPr>
            </w:pPr>
          </w:p>
        </w:tc>
        <w:tc>
          <w:tcPr>
            <w:tcW w:w="390" w:type="pct"/>
            <w:vAlign w:val="center"/>
          </w:tcPr>
          <w:p w14:paraId="6F6263CC">
            <w:pPr>
              <w:pStyle w:val="220"/>
              <w:rPr>
                <w:rFonts w:hint="eastAsia" w:ascii="仿宋" w:hAnsi="仿宋" w:eastAsia="仿宋"/>
                <w:szCs w:val="21"/>
              </w:rPr>
            </w:pPr>
          </w:p>
        </w:tc>
        <w:tc>
          <w:tcPr>
            <w:tcW w:w="1288" w:type="pct"/>
            <w:vAlign w:val="center"/>
          </w:tcPr>
          <w:p w14:paraId="2C9B80C5">
            <w:pPr>
              <w:pStyle w:val="222"/>
              <w:rPr>
                <w:rFonts w:hint="eastAsia" w:ascii="仿宋" w:hAnsi="仿宋" w:eastAsia="仿宋"/>
              </w:rPr>
            </w:pPr>
            <w:r>
              <w:rPr>
                <w:rFonts w:ascii="仿宋" w:hAnsi="仿宋" w:eastAsia="仿宋"/>
              </w:rPr>
              <w:t>K</w:t>
            </w:r>
            <w:r>
              <w:rPr>
                <w:rFonts w:hint="eastAsia" w:ascii="仿宋" w:hAnsi="仿宋" w:eastAsia="仿宋"/>
              </w:rPr>
              <w:t>0</w:t>
            </w:r>
            <w:r>
              <w:rPr>
                <w:rFonts w:ascii="仿宋" w:hAnsi="仿宋" w:eastAsia="仿宋"/>
              </w:rPr>
              <w:t>+</w:t>
            </w:r>
            <w:r>
              <w:rPr>
                <w:rFonts w:hint="eastAsia" w:ascii="仿宋" w:hAnsi="仿宋" w:eastAsia="仿宋"/>
              </w:rPr>
              <w:t>000～</w:t>
            </w:r>
            <w:r>
              <w:rPr>
                <w:rFonts w:ascii="仿宋" w:hAnsi="仿宋" w:eastAsia="仿宋"/>
              </w:rPr>
              <w:t>K</w:t>
            </w:r>
            <w:r>
              <w:rPr>
                <w:rFonts w:hint="eastAsia" w:ascii="仿宋" w:hAnsi="仿宋" w:eastAsia="仿宋"/>
              </w:rPr>
              <w:t>0+0</w:t>
            </w:r>
            <w:r>
              <w:rPr>
                <w:rFonts w:ascii="仿宋" w:hAnsi="仿宋" w:eastAsia="仿宋"/>
              </w:rPr>
              <w:t>10</w:t>
            </w:r>
          </w:p>
        </w:tc>
        <w:tc>
          <w:tcPr>
            <w:tcW w:w="1294" w:type="pct"/>
            <w:vAlign w:val="center"/>
          </w:tcPr>
          <w:p w14:paraId="64A7E28D">
            <w:pPr>
              <w:pStyle w:val="220"/>
              <w:rPr>
                <w:rFonts w:hint="eastAsia" w:ascii="仿宋" w:hAnsi="仿宋" w:eastAsia="仿宋"/>
                <w:szCs w:val="21"/>
              </w:rPr>
            </w:pPr>
            <w:r>
              <w:rPr>
                <w:rFonts w:hint="eastAsia" w:ascii="仿宋" w:hAnsi="仿宋" w:eastAsia="仿宋"/>
                <w:szCs w:val="21"/>
              </w:rPr>
              <w:t>路线</w:t>
            </w:r>
            <w:r>
              <w:rPr>
                <w:rFonts w:ascii="仿宋" w:hAnsi="仿宋" w:eastAsia="仿宋"/>
                <w:szCs w:val="21"/>
              </w:rPr>
              <w:t>3</w:t>
            </w:r>
          </w:p>
        </w:tc>
      </w:tr>
      <w:tr w14:paraId="17F0C3E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42" w:type="pct"/>
            <w:vAlign w:val="center"/>
          </w:tcPr>
          <w:p w14:paraId="1BB81CF1">
            <w:pPr>
              <w:pStyle w:val="220"/>
              <w:rPr>
                <w:rFonts w:hint="eastAsia" w:ascii="仿宋" w:hAnsi="仿宋" w:eastAsia="仿宋"/>
                <w:szCs w:val="21"/>
              </w:rPr>
            </w:pPr>
            <w:r>
              <w:rPr>
                <w:rFonts w:hint="eastAsia" w:ascii="仿宋" w:hAnsi="仿宋" w:eastAsia="仿宋"/>
                <w:szCs w:val="21"/>
              </w:rPr>
              <w:t>2</w:t>
            </w:r>
          </w:p>
        </w:tc>
        <w:tc>
          <w:tcPr>
            <w:tcW w:w="1586" w:type="pct"/>
            <w:vAlign w:val="center"/>
          </w:tcPr>
          <w:p w14:paraId="013B0127">
            <w:pPr>
              <w:pStyle w:val="220"/>
              <w:rPr>
                <w:rFonts w:hint="eastAsia" w:ascii="仿宋" w:hAnsi="仿宋" w:eastAsia="仿宋"/>
                <w:szCs w:val="21"/>
              </w:rPr>
            </w:pPr>
            <w:r>
              <w:rPr>
                <w:rFonts w:hint="eastAsia" w:ascii="仿宋" w:hAnsi="仿宋" w:eastAsia="仿宋"/>
                <w:szCs w:val="21"/>
              </w:rPr>
              <w:t>公路等级</w:t>
            </w:r>
          </w:p>
        </w:tc>
        <w:tc>
          <w:tcPr>
            <w:tcW w:w="390" w:type="pct"/>
            <w:vAlign w:val="center"/>
          </w:tcPr>
          <w:p w14:paraId="4FA7E01A">
            <w:pPr>
              <w:pStyle w:val="220"/>
              <w:rPr>
                <w:rFonts w:hint="eastAsia" w:ascii="仿宋" w:hAnsi="仿宋" w:eastAsia="仿宋"/>
                <w:szCs w:val="21"/>
              </w:rPr>
            </w:pPr>
          </w:p>
        </w:tc>
        <w:tc>
          <w:tcPr>
            <w:tcW w:w="1288" w:type="pct"/>
            <w:vAlign w:val="center"/>
          </w:tcPr>
          <w:p w14:paraId="764D225B">
            <w:pPr>
              <w:pStyle w:val="222"/>
              <w:rPr>
                <w:rFonts w:hint="eastAsia" w:ascii="仿宋" w:hAnsi="仿宋" w:eastAsia="仿宋"/>
              </w:rPr>
            </w:pPr>
            <w:r>
              <w:rPr>
                <w:rFonts w:hint="eastAsia" w:ascii="仿宋" w:hAnsi="仿宋" w:eastAsia="仿宋"/>
              </w:rPr>
              <w:t>四级公路</w:t>
            </w:r>
          </w:p>
        </w:tc>
        <w:tc>
          <w:tcPr>
            <w:tcW w:w="1294" w:type="pct"/>
            <w:vAlign w:val="center"/>
          </w:tcPr>
          <w:p w14:paraId="082BEB5B">
            <w:pPr>
              <w:pStyle w:val="220"/>
              <w:rPr>
                <w:rFonts w:hint="eastAsia" w:ascii="仿宋" w:hAnsi="仿宋" w:eastAsia="仿宋"/>
                <w:szCs w:val="21"/>
              </w:rPr>
            </w:pPr>
          </w:p>
        </w:tc>
      </w:tr>
      <w:tr w14:paraId="6191304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42" w:type="pct"/>
            <w:vAlign w:val="center"/>
          </w:tcPr>
          <w:p w14:paraId="0A99019D">
            <w:pPr>
              <w:pStyle w:val="220"/>
              <w:rPr>
                <w:rFonts w:hint="eastAsia" w:ascii="仿宋" w:hAnsi="仿宋" w:eastAsia="仿宋"/>
                <w:szCs w:val="21"/>
              </w:rPr>
            </w:pPr>
            <w:r>
              <w:rPr>
                <w:rFonts w:hint="eastAsia" w:ascii="仿宋" w:hAnsi="仿宋" w:eastAsia="仿宋"/>
                <w:szCs w:val="21"/>
              </w:rPr>
              <w:t>3</w:t>
            </w:r>
          </w:p>
        </w:tc>
        <w:tc>
          <w:tcPr>
            <w:tcW w:w="1586" w:type="pct"/>
            <w:vAlign w:val="center"/>
          </w:tcPr>
          <w:p w14:paraId="2ADFA573">
            <w:pPr>
              <w:pStyle w:val="220"/>
              <w:rPr>
                <w:rFonts w:hint="eastAsia" w:ascii="仿宋" w:hAnsi="仿宋" w:eastAsia="仿宋"/>
                <w:szCs w:val="21"/>
              </w:rPr>
            </w:pPr>
            <w:r>
              <w:rPr>
                <w:rFonts w:hint="eastAsia" w:ascii="仿宋" w:hAnsi="仿宋" w:eastAsia="仿宋"/>
                <w:szCs w:val="21"/>
              </w:rPr>
              <w:t>路线长度</w:t>
            </w:r>
          </w:p>
        </w:tc>
        <w:tc>
          <w:tcPr>
            <w:tcW w:w="390" w:type="pct"/>
            <w:vAlign w:val="center"/>
          </w:tcPr>
          <w:p w14:paraId="60DAF635">
            <w:pPr>
              <w:pStyle w:val="220"/>
              <w:rPr>
                <w:rFonts w:hint="eastAsia" w:ascii="仿宋" w:hAnsi="仿宋" w:eastAsia="仿宋"/>
                <w:szCs w:val="21"/>
              </w:rPr>
            </w:pPr>
            <w:r>
              <w:rPr>
                <w:rFonts w:hint="eastAsia" w:ascii="仿宋" w:hAnsi="仿宋" w:eastAsia="仿宋"/>
                <w:szCs w:val="21"/>
              </w:rPr>
              <w:t>km</w:t>
            </w:r>
          </w:p>
        </w:tc>
        <w:tc>
          <w:tcPr>
            <w:tcW w:w="1288" w:type="pct"/>
            <w:vAlign w:val="center"/>
          </w:tcPr>
          <w:p w14:paraId="4B242964">
            <w:pPr>
              <w:pStyle w:val="220"/>
              <w:rPr>
                <w:rFonts w:hint="eastAsia" w:ascii="仿宋" w:hAnsi="仿宋" w:eastAsia="仿宋"/>
                <w:szCs w:val="21"/>
              </w:rPr>
            </w:pPr>
            <w:r>
              <w:rPr>
                <w:rFonts w:ascii="仿宋" w:hAnsi="仿宋" w:eastAsia="仿宋"/>
                <w:szCs w:val="21"/>
              </w:rPr>
              <w:t>0.582</w:t>
            </w:r>
          </w:p>
        </w:tc>
        <w:tc>
          <w:tcPr>
            <w:tcW w:w="1294" w:type="pct"/>
            <w:vAlign w:val="center"/>
          </w:tcPr>
          <w:p w14:paraId="4554CEE0">
            <w:pPr>
              <w:pStyle w:val="222"/>
              <w:rPr>
                <w:rFonts w:hint="eastAsia" w:ascii="仿宋" w:hAnsi="仿宋" w:eastAsia="仿宋"/>
              </w:rPr>
            </w:pPr>
          </w:p>
        </w:tc>
      </w:tr>
      <w:tr w14:paraId="454073B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42" w:type="pct"/>
            <w:vAlign w:val="center"/>
          </w:tcPr>
          <w:p w14:paraId="19F609E2">
            <w:pPr>
              <w:pStyle w:val="220"/>
              <w:rPr>
                <w:rFonts w:hint="eastAsia" w:ascii="仿宋" w:hAnsi="仿宋" w:eastAsia="仿宋"/>
                <w:szCs w:val="21"/>
              </w:rPr>
            </w:pPr>
            <w:r>
              <w:rPr>
                <w:rFonts w:hint="eastAsia" w:ascii="仿宋" w:hAnsi="仿宋" w:eastAsia="仿宋"/>
                <w:szCs w:val="21"/>
              </w:rPr>
              <w:t>4</w:t>
            </w:r>
          </w:p>
        </w:tc>
        <w:tc>
          <w:tcPr>
            <w:tcW w:w="1586" w:type="pct"/>
            <w:vAlign w:val="center"/>
          </w:tcPr>
          <w:p w14:paraId="0EE5E0C5">
            <w:pPr>
              <w:pStyle w:val="220"/>
              <w:rPr>
                <w:rFonts w:hint="eastAsia" w:ascii="仿宋" w:hAnsi="仿宋" w:eastAsia="仿宋"/>
                <w:szCs w:val="21"/>
              </w:rPr>
            </w:pPr>
            <w:r>
              <w:rPr>
                <w:rFonts w:hint="eastAsia" w:ascii="仿宋" w:hAnsi="仿宋" w:eastAsia="仿宋"/>
                <w:szCs w:val="21"/>
              </w:rPr>
              <w:t>设计行车速度</w:t>
            </w:r>
          </w:p>
        </w:tc>
        <w:tc>
          <w:tcPr>
            <w:tcW w:w="390" w:type="pct"/>
            <w:vAlign w:val="center"/>
          </w:tcPr>
          <w:p w14:paraId="23ECABDA">
            <w:pPr>
              <w:pStyle w:val="220"/>
              <w:rPr>
                <w:rFonts w:hint="eastAsia" w:ascii="仿宋" w:hAnsi="仿宋" w:eastAsia="仿宋"/>
                <w:szCs w:val="21"/>
              </w:rPr>
            </w:pPr>
            <w:r>
              <w:rPr>
                <w:rFonts w:hint="eastAsia" w:ascii="仿宋" w:hAnsi="仿宋" w:eastAsia="仿宋"/>
                <w:szCs w:val="21"/>
              </w:rPr>
              <w:t>km/h</w:t>
            </w:r>
          </w:p>
        </w:tc>
        <w:tc>
          <w:tcPr>
            <w:tcW w:w="1288" w:type="pct"/>
            <w:vAlign w:val="center"/>
          </w:tcPr>
          <w:p w14:paraId="49898C35">
            <w:pPr>
              <w:pStyle w:val="222"/>
              <w:rPr>
                <w:rFonts w:hint="eastAsia" w:ascii="仿宋" w:hAnsi="仿宋" w:eastAsia="仿宋"/>
              </w:rPr>
            </w:pPr>
            <w:r>
              <w:rPr>
                <w:rFonts w:hint="eastAsia" w:ascii="仿宋" w:hAnsi="仿宋" w:eastAsia="仿宋"/>
              </w:rPr>
              <w:t>20</w:t>
            </w:r>
          </w:p>
        </w:tc>
        <w:tc>
          <w:tcPr>
            <w:tcW w:w="1294" w:type="pct"/>
            <w:vAlign w:val="center"/>
          </w:tcPr>
          <w:p w14:paraId="3CD4A811">
            <w:pPr>
              <w:pStyle w:val="220"/>
              <w:rPr>
                <w:rFonts w:hint="eastAsia" w:ascii="仿宋" w:hAnsi="仿宋" w:eastAsia="仿宋"/>
                <w:szCs w:val="21"/>
              </w:rPr>
            </w:pPr>
          </w:p>
        </w:tc>
      </w:tr>
      <w:tr w14:paraId="2ABE126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42" w:type="pct"/>
            <w:vAlign w:val="center"/>
          </w:tcPr>
          <w:p w14:paraId="54A3D74C">
            <w:pPr>
              <w:pStyle w:val="220"/>
              <w:rPr>
                <w:rFonts w:hint="eastAsia" w:ascii="仿宋" w:hAnsi="仿宋" w:eastAsia="仿宋"/>
                <w:szCs w:val="21"/>
              </w:rPr>
            </w:pPr>
            <w:r>
              <w:rPr>
                <w:rFonts w:hint="eastAsia" w:ascii="仿宋" w:hAnsi="仿宋" w:eastAsia="仿宋"/>
                <w:szCs w:val="21"/>
              </w:rPr>
              <w:t>5</w:t>
            </w:r>
          </w:p>
        </w:tc>
        <w:tc>
          <w:tcPr>
            <w:tcW w:w="1586" w:type="pct"/>
            <w:vAlign w:val="center"/>
          </w:tcPr>
          <w:p w14:paraId="2C8751B5">
            <w:pPr>
              <w:pStyle w:val="220"/>
              <w:rPr>
                <w:rFonts w:hint="eastAsia" w:ascii="仿宋" w:hAnsi="仿宋" w:eastAsia="仿宋"/>
                <w:szCs w:val="21"/>
              </w:rPr>
            </w:pPr>
            <w:r>
              <w:rPr>
                <w:rFonts w:hint="eastAsia" w:ascii="仿宋" w:hAnsi="仿宋" w:eastAsia="仿宋"/>
                <w:szCs w:val="21"/>
              </w:rPr>
              <w:t>路基宽度</w:t>
            </w:r>
          </w:p>
        </w:tc>
        <w:tc>
          <w:tcPr>
            <w:tcW w:w="390" w:type="pct"/>
            <w:vAlign w:val="center"/>
          </w:tcPr>
          <w:p w14:paraId="5E565116">
            <w:pPr>
              <w:pStyle w:val="220"/>
              <w:rPr>
                <w:rFonts w:hint="eastAsia" w:ascii="仿宋" w:hAnsi="仿宋" w:eastAsia="仿宋"/>
                <w:szCs w:val="21"/>
              </w:rPr>
            </w:pPr>
            <w:r>
              <w:rPr>
                <w:rFonts w:hint="eastAsia" w:ascii="仿宋" w:hAnsi="仿宋" w:eastAsia="仿宋"/>
                <w:szCs w:val="21"/>
              </w:rPr>
              <w:t>m</w:t>
            </w:r>
          </w:p>
        </w:tc>
        <w:tc>
          <w:tcPr>
            <w:tcW w:w="1288" w:type="pct"/>
            <w:vAlign w:val="center"/>
          </w:tcPr>
          <w:p w14:paraId="3071AC02">
            <w:pPr>
              <w:pStyle w:val="222"/>
              <w:rPr>
                <w:rFonts w:hint="eastAsia" w:ascii="仿宋" w:hAnsi="仿宋" w:eastAsia="仿宋"/>
              </w:rPr>
            </w:pPr>
            <w:r>
              <w:rPr>
                <w:rFonts w:ascii="仿宋" w:hAnsi="仿宋" w:eastAsia="仿宋"/>
              </w:rPr>
              <w:t>5</w:t>
            </w:r>
            <w:r>
              <w:rPr>
                <w:rFonts w:hint="eastAsia" w:ascii="仿宋" w:hAnsi="仿宋" w:eastAsia="仿宋"/>
              </w:rPr>
              <w:t>.5</w:t>
            </w:r>
          </w:p>
        </w:tc>
        <w:tc>
          <w:tcPr>
            <w:tcW w:w="1294" w:type="pct"/>
            <w:vAlign w:val="center"/>
          </w:tcPr>
          <w:p w14:paraId="13E09B9A">
            <w:pPr>
              <w:pStyle w:val="220"/>
              <w:rPr>
                <w:rFonts w:hint="eastAsia" w:ascii="仿宋" w:hAnsi="仿宋" w:eastAsia="仿宋"/>
                <w:szCs w:val="21"/>
              </w:rPr>
            </w:pPr>
          </w:p>
        </w:tc>
      </w:tr>
      <w:tr w14:paraId="0A56707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42" w:type="pct"/>
            <w:vAlign w:val="center"/>
          </w:tcPr>
          <w:p w14:paraId="58D3C5E3">
            <w:pPr>
              <w:pStyle w:val="220"/>
              <w:rPr>
                <w:rFonts w:hint="eastAsia" w:ascii="仿宋" w:hAnsi="仿宋" w:eastAsia="仿宋"/>
                <w:szCs w:val="21"/>
              </w:rPr>
            </w:pPr>
            <w:r>
              <w:rPr>
                <w:rFonts w:hint="eastAsia" w:ascii="仿宋" w:hAnsi="仿宋" w:eastAsia="仿宋"/>
                <w:szCs w:val="21"/>
              </w:rPr>
              <w:t>6</w:t>
            </w:r>
          </w:p>
        </w:tc>
        <w:tc>
          <w:tcPr>
            <w:tcW w:w="1586" w:type="pct"/>
            <w:vAlign w:val="center"/>
          </w:tcPr>
          <w:p w14:paraId="4F5B8D93">
            <w:pPr>
              <w:pStyle w:val="220"/>
              <w:rPr>
                <w:rFonts w:hint="eastAsia" w:ascii="仿宋" w:hAnsi="仿宋" w:eastAsia="仿宋"/>
                <w:szCs w:val="21"/>
              </w:rPr>
            </w:pPr>
            <w:r>
              <w:rPr>
                <w:rFonts w:hint="eastAsia" w:ascii="仿宋" w:hAnsi="仿宋" w:eastAsia="仿宋"/>
                <w:szCs w:val="21"/>
              </w:rPr>
              <w:t>行车道宽度</w:t>
            </w:r>
          </w:p>
        </w:tc>
        <w:tc>
          <w:tcPr>
            <w:tcW w:w="390" w:type="pct"/>
            <w:vAlign w:val="center"/>
          </w:tcPr>
          <w:p w14:paraId="065320C4">
            <w:pPr>
              <w:pStyle w:val="220"/>
              <w:rPr>
                <w:rFonts w:hint="eastAsia" w:ascii="仿宋" w:hAnsi="仿宋" w:eastAsia="仿宋"/>
                <w:szCs w:val="21"/>
              </w:rPr>
            </w:pPr>
            <w:r>
              <w:rPr>
                <w:rFonts w:hint="eastAsia" w:ascii="仿宋" w:hAnsi="仿宋" w:eastAsia="仿宋"/>
                <w:szCs w:val="21"/>
              </w:rPr>
              <w:t>m</w:t>
            </w:r>
          </w:p>
        </w:tc>
        <w:tc>
          <w:tcPr>
            <w:tcW w:w="1288" w:type="pct"/>
            <w:vAlign w:val="center"/>
          </w:tcPr>
          <w:p w14:paraId="3E1CA2F2">
            <w:pPr>
              <w:pStyle w:val="222"/>
              <w:rPr>
                <w:rFonts w:hint="eastAsia" w:ascii="仿宋" w:hAnsi="仿宋" w:eastAsia="仿宋"/>
              </w:rPr>
            </w:pPr>
            <w:r>
              <w:rPr>
                <w:rFonts w:ascii="仿宋" w:hAnsi="仿宋" w:eastAsia="仿宋"/>
              </w:rPr>
              <w:t>4.5</w:t>
            </w:r>
          </w:p>
        </w:tc>
        <w:tc>
          <w:tcPr>
            <w:tcW w:w="1294" w:type="pct"/>
            <w:vAlign w:val="center"/>
          </w:tcPr>
          <w:p w14:paraId="6BA3EA0A">
            <w:pPr>
              <w:pStyle w:val="220"/>
              <w:rPr>
                <w:rFonts w:hint="eastAsia" w:ascii="仿宋" w:hAnsi="仿宋" w:eastAsia="仿宋"/>
                <w:szCs w:val="21"/>
              </w:rPr>
            </w:pPr>
          </w:p>
        </w:tc>
      </w:tr>
      <w:tr w14:paraId="1FD01F1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42" w:type="pct"/>
            <w:vAlign w:val="center"/>
          </w:tcPr>
          <w:p w14:paraId="3124DE7E">
            <w:pPr>
              <w:pStyle w:val="220"/>
              <w:rPr>
                <w:rFonts w:hint="eastAsia" w:ascii="仿宋" w:hAnsi="仿宋" w:eastAsia="仿宋"/>
                <w:szCs w:val="21"/>
              </w:rPr>
            </w:pPr>
            <w:r>
              <w:rPr>
                <w:rFonts w:hint="eastAsia" w:ascii="仿宋" w:hAnsi="仿宋" w:eastAsia="仿宋"/>
                <w:szCs w:val="21"/>
              </w:rPr>
              <w:t>7</w:t>
            </w:r>
          </w:p>
        </w:tc>
        <w:tc>
          <w:tcPr>
            <w:tcW w:w="1586" w:type="pct"/>
            <w:vAlign w:val="center"/>
          </w:tcPr>
          <w:p w14:paraId="6E786522">
            <w:pPr>
              <w:pStyle w:val="220"/>
              <w:rPr>
                <w:rFonts w:hint="eastAsia" w:ascii="仿宋" w:hAnsi="仿宋" w:eastAsia="仿宋"/>
                <w:szCs w:val="21"/>
              </w:rPr>
            </w:pPr>
            <w:r>
              <w:rPr>
                <w:rFonts w:hint="eastAsia" w:ascii="仿宋" w:hAnsi="仿宋" w:eastAsia="仿宋"/>
                <w:szCs w:val="21"/>
              </w:rPr>
              <w:t>土路肩宽度（一般值）</w:t>
            </w:r>
          </w:p>
        </w:tc>
        <w:tc>
          <w:tcPr>
            <w:tcW w:w="390" w:type="pct"/>
            <w:vAlign w:val="center"/>
          </w:tcPr>
          <w:p w14:paraId="1BCCAFA2">
            <w:pPr>
              <w:pStyle w:val="220"/>
              <w:rPr>
                <w:rFonts w:hint="eastAsia" w:ascii="仿宋" w:hAnsi="仿宋" w:eastAsia="仿宋"/>
                <w:szCs w:val="21"/>
              </w:rPr>
            </w:pPr>
            <w:r>
              <w:rPr>
                <w:rFonts w:hint="eastAsia" w:ascii="仿宋" w:hAnsi="仿宋" w:eastAsia="仿宋"/>
                <w:szCs w:val="21"/>
              </w:rPr>
              <w:t>m</w:t>
            </w:r>
          </w:p>
        </w:tc>
        <w:tc>
          <w:tcPr>
            <w:tcW w:w="1288" w:type="pct"/>
            <w:vAlign w:val="center"/>
          </w:tcPr>
          <w:p w14:paraId="167A8B15">
            <w:pPr>
              <w:pStyle w:val="222"/>
              <w:rPr>
                <w:rFonts w:hint="eastAsia" w:ascii="仿宋" w:hAnsi="仿宋" w:eastAsia="仿宋"/>
              </w:rPr>
            </w:pPr>
            <w:r>
              <w:rPr>
                <w:rFonts w:hint="eastAsia" w:ascii="仿宋" w:hAnsi="仿宋" w:eastAsia="仿宋"/>
              </w:rPr>
              <w:t>2×0.5</w:t>
            </w:r>
          </w:p>
        </w:tc>
        <w:tc>
          <w:tcPr>
            <w:tcW w:w="1294" w:type="pct"/>
            <w:vAlign w:val="center"/>
          </w:tcPr>
          <w:p w14:paraId="76366510">
            <w:pPr>
              <w:pStyle w:val="220"/>
              <w:rPr>
                <w:rFonts w:hint="eastAsia" w:ascii="仿宋" w:hAnsi="仿宋" w:eastAsia="仿宋"/>
                <w:szCs w:val="21"/>
              </w:rPr>
            </w:pPr>
          </w:p>
        </w:tc>
      </w:tr>
      <w:tr w14:paraId="3413F23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42" w:type="pct"/>
            <w:vAlign w:val="center"/>
          </w:tcPr>
          <w:p w14:paraId="0E46383C">
            <w:pPr>
              <w:pStyle w:val="220"/>
              <w:rPr>
                <w:rFonts w:hint="eastAsia" w:ascii="仿宋" w:hAnsi="仿宋" w:eastAsia="仿宋"/>
                <w:szCs w:val="21"/>
              </w:rPr>
            </w:pPr>
            <w:r>
              <w:rPr>
                <w:rFonts w:hint="eastAsia" w:ascii="仿宋" w:hAnsi="仿宋" w:eastAsia="仿宋"/>
                <w:szCs w:val="21"/>
              </w:rPr>
              <w:t>8</w:t>
            </w:r>
          </w:p>
        </w:tc>
        <w:tc>
          <w:tcPr>
            <w:tcW w:w="1586" w:type="pct"/>
            <w:vAlign w:val="center"/>
          </w:tcPr>
          <w:p w14:paraId="36E81F14">
            <w:pPr>
              <w:pStyle w:val="220"/>
              <w:rPr>
                <w:rFonts w:hint="eastAsia" w:ascii="仿宋" w:hAnsi="仿宋" w:eastAsia="仿宋"/>
                <w:szCs w:val="21"/>
              </w:rPr>
            </w:pPr>
            <w:r>
              <w:rPr>
                <w:rFonts w:hint="eastAsia" w:ascii="仿宋" w:hAnsi="仿宋" w:eastAsia="仿宋"/>
                <w:szCs w:val="21"/>
              </w:rPr>
              <w:t>路拱横坡</w:t>
            </w:r>
          </w:p>
        </w:tc>
        <w:tc>
          <w:tcPr>
            <w:tcW w:w="390" w:type="pct"/>
            <w:vAlign w:val="center"/>
          </w:tcPr>
          <w:p w14:paraId="01FD0E79">
            <w:pPr>
              <w:pStyle w:val="220"/>
              <w:rPr>
                <w:rFonts w:hint="eastAsia" w:ascii="仿宋" w:hAnsi="仿宋" w:eastAsia="仿宋"/>
                <w:szCs w:val="21"/>
              </w:rPr>
            </w:pPr>
            <w:r>
              <w:rPr>
                <w:rFonts w:hint="eastAsia" w:ascii="仿宋" w:hAnsi="仿宋" w:eastAsia="仿宋"/>
                <w:szCs w:val="21"/>
              </w:rPr>
              <w:t>%</w:t>
            </w:r>
          </w:p>
        </w:tc>
        <w:tc>
          <w:tcPr>
            <w:tcW w:w="1288" w:type="pct"/>
            <w:vAlign w:val="center"/>
          </w:tcPr>
          <w:p w14:paraId="6420E104">
            <w:pPr>
              <w:pStyle w:val="222"/>
              <w:rPr>
                <w:rFonts w:hint="eastAsia" w:ascii="仿宋" w:hAnsi="仿宋" w:eastAsia="仿宋"/>
              </w:rPr>
            </w:pPr>
            <w:r>
              <w:rPr>
                <w:rFonts w:ascii="仿宋" w:hAnsi="仿宋" w:eastAsia="仿宋"/>
              </w:rPr>
              <w:t>1.5</w:t>
            </w:r>
          </w:p>
        </w:tc>
        <w:tc>
          <w:tcPr>
            <w:tcW w:w="1294" w:type="pct"/>
            <w:vAlign w:val="center"/>
          </w:tcPr>
          <w:p w14:paraId="5C6544F9">
            <w:pPr>
              <w:pStyle w:val="220"/>
              <w:rPr>
                <w:rFonts w:hint="eastAsia" w:ascii="仿宋" w:hAnsi="仿宋" w:eastAsia="仿宋"/>
                <w:szCs w:val="21"/>
              </w:rPr>
            </w:pPr>
          </w:p>
        </w:tc>
      </w:tr>
      <w:tr w14:paraId="5AB976F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42" w:type="pct"/>
            <w:vAlign w:val="center"/>
          </w:tcPr>
          <w:p w14:paraId="7C4078E1">
            <w:pPr>
              <w:pStyle w:val="220"/>
              <w:rPr>
                <w:rFonts w:hint="eastAsia" w:ascii="仿宋" w:hAnsi="仿宋" w:eastAsia="仿宋"/>
                <w:szCs w:val="21"/>
              </w:rPr>
            </w:pPr>
            <w:r>
              <w:rPr>
                <w:rFonts w:hint="eastAsia" w:ascii="仿宋" w:hAnsi="仿宋" w:eastAsia="仿宋"/>
                <w:szCs w:val="21"/>
              </w:rPr>
              <w:t>9</w:t>
            </w:r>
          </w:p>
        </w:tc>
        <w:tc>
          <w:tcPr>
            <w:tcW w:w="1586" w:type="pct"/>
            <w:vAlign w:val="center"/>
          </w:tcPr>
          <w:p w14:paraId="506A3976">
            <w:pPr>
              <w:pStyle w:val="220"/>
              <w:rPr>
                <w:rFonts w:hint="eastAsia" w:ascii="仿宋" w:hAnsi="仿宋" w:eastAsia="仿宋"/>
                <w:szCs w:val="21"/>
              </w:rPr>
            </w:pPr>
            <w:r>
              <w:rPr>
                <w:rFonts w:hint="eastAsia" w:ascii="仿宋" w:hAnsi="仿宋" w:eastAsia="仿宋"/>
                <w:szCs w:val="21"/>
              </w:rPr>
              <w:t>路面设计荷载（标准轴载KN）</w:t>
            </w:r>
          </w:p>
        </w:tc>
        <w:tc>
          <w:tcPr>
            <w:tcW w:w="390" w:type="pct"/>
            <w:vAlign w:val="center"/>
          </w:tcPr>
          <w:p w14:paraId="162B4919">
            <w:pPr>
              <w:pStyle w:val="220"/>
              <w:rPr>
                <w:rFonts w:hint="eastAsia" w:ascii="仿宋" w:hAnsi="仿宋" w:eastAsia="仿宋"/>
                <w:szCs w:val="21"/>
              </w:rPr>
            </w:pPr>
            <w:r>
              <w:rPr>
                <w:rFonts w:hint="eastAsia" w:ascii="仿宋" w:hAnsi="仿宋" w:eastAsia="仿宋"/>
                <w:szCs w:val="21"/>
              </w:rPr>
              <w:t>KN</w:t>
            </w:r>
          </w:p>
        </w:tc>
        <w:tc>
          <w:tcPr>
            <w:tcW w:w="1288" w:type="pct"/>
            <w:vAlign w:val="center"/>
          </w:tcPr>
          <w:p w14:paraId="15A006C5">
            <w:pPr>
              <w:pStyle w:val="222"/>
              <w:rPr>
                <w:rFonts w:hint="eastAsia" w:ascii="仿宋" w:hAnsi="仿宋" w:eastAsia="仿宋"/>
              </w:rPr>
            </w:pPr>
            <w:r>
              <w:rPr>
                <w:rFonts w:hint="eastAsia" w:ascii="仿宋" w:hAnsi="仿宋" w:eastAsia="仿宋"/>
              </w:rPr>
              <w:t>BZZ-100</w:t>
            </w:r>
          </w:p>
        </w:tc>
        <w:tc>
          <w:tcPr>
            <w:tcW w:w="1294" w:type="pct"/>
            <w:vAlign w:val="center"/>
          </w:tcPr>
          <w:p w14:paraId="3730805E">
            <w:pPr>
              <w:pStyle w:val="220"/>
              <w:rPr>
                <w:rFonts w:hint="eastAsia" w:ascii="仿宋" w:hAnsi="仿宋" w:eastAsia="仿宋"/>
                <w:szCs w:val="21"/>
              </w:rPr>
            </w:pPr>
          </w:p>
        </w:tc>
      </w:tr>
    </w:tbl>
    <w:p w14:paraId="1815628F">
      <w:pPr>
        <w:pStyle w:val="208"/>
        <w:ind w:firstLine="482" w:firstLineChars="200"/>
        <w:rPr>
          <w:rFonts w:hint="eastAsia"/>
        </w:rPr>
      </w:pPr>
      <w:r>
        <w:rPr>
          <w:rFonts w:hint="eastAsia"/>
        </w:rPr>
        <w:t>路线平纵面设计</w:t>
      </w:r>
    </w:p>
    <w:bookmarkEnd w:id="0"/>
    <w:p w14:paraId="0772BB5B">
      <w:pPr>
        <w:pStyle w:val="77"/>
        <w:rPr>
          <w:rFonts w:hint="eastAsia" w:ascii="仿宋" w:hAnsi="仿宋" w:eastAsia="仿宋"/>
        </w:rPr>
      </w:pPr>
      <w:r>
        <w:rPr>
          <w:rFonts w:hint="eastAsia" w:ascii="仿宋" w:hAnsi="仿宋" w:eastAsia="仿宋"/>
        </w:rPr>
        <w:t>本次项目为道路水毁重建项目，路线以拟合现状道路线型为主，指标维持现状。</w:t>
      </w:r>
    </w:p>
    <w:p w14:paraId="578A3666">
      <w:pPr>
        <w:pStyle w:val="77"/>
        <w:rPr>
          <w:rFonts w:hint="eastAsia" w:ascii="仿宋" w:hAnsi="仿宋" w:eastAsia="仿宋"/>
        </w:rPr>
      </w:pPr>
      <w:r>
        <w:rPr>
          <w:rFonts w:hint="eastAsia" w:ascii="仿宋" w:hAnsi="仿宋" w:eastAsia="仿宋"/>
        </w:rPr>
        <w:t>路线方案布设充分考虑了路线所经过地区的地形、地物、地质、水文等自然条件，并结合沿线乡镇的总体规划布局和公路网布局的要求，注重工程技术、经济的合理性，同时征求了当地交通运输局、地方政府及交通部门、规划部门的意见，根据实地踏查结果，确定本项目的路线方案。路线方案拟定主要遵循以下原则：</w:t>
      </w:r>
    </w:p>
    <w:p w14:paraId="6C55C490">
      <w:pPr>
        <w:pStyle w:val="77"/>
        <w:rPr>
          <w:rFonts w:hint="eastAsia" w:ascii="仿宋" w:hAnsi="仿宋" w:eastAsia="仿宋"/>
        </w:rPr>
      </w:pPr>
      <w:r>
        <w:rPr>
          <w:rFonts w:hint="eastAsia" w:ascii="仿宋" w:hAnsi="仿宋" w:eastAsia="仿宋"/>
        </w:rPr>
        <w:t>1)、充分合理利用沿线地形条件和现有旧路，对局部路段的指标进行改善，并对穿越镇内路段参考城镇规划进行设计，减少工程数量，尽量少拆迁或不拆迁，降低工程造价；</w:t>
      </w:r>
    </w:p>
    <w:p w14:paraId="3162BC87">
      <w:pPr>
        <w:pStyle w:val="77"/>
        <w:rPr>
          <w:rFonts w:hint="eastAsia" w:ascii="仿宋" w:hAnsi="仿宋" w:eastAsia="仿宋"/>
        </w:rPr>
      </w:pPr>
      <w:r>
        <w:rPr>
          <w:rFonts w:hint="eastAsia" w:ascii="仿宋" w:hAnsi="仿宋" w:eastAsia="仿宋"/>
        </w:rPr>
        <w:t>2)、合理利用自然地形条件，减少对自然环境的破坏和降低工程造价，提高运营效益，不片面地追求高指标而破坏环境；</w:t>
      </w:r>
    </w:p>
    <w:p w14:paraId="33E75665">
      <w:pPr>
        <w:pStyle w:val="77"/>
        <w:rPr>
          <w:rFonts w:hint="eastAsia" w:ascii="仿宋" w:hAnsi="仿宋" w:eastAsia="仿宋"/>
        </w:rPr>
      </w:pPr>
      <w:r>
        <w:rPr>
          <w:rFonts w:hint="eastAsia" w:ascii="仿宋" w:hAnsi="仿宋" w:eastAsia="仿宋"/>
        </w:rPr>
        <w:t>3)、充分考虑城市的总体规划和地方政府的意见，有效发挥本路线对沿线各市县和乡镇的作用，为区域交通和经济的发展提供更便捷的服务；</w:t>
      </w:r>
    </w:p>
    <w:p w14:paraId="4CEA21E1">
      <w:pPr>
        <w:pStyle w:val="77"/>
        <w:rPr>
          <w:rFonts w:hint="eastAsia" w:ascii="仿宋" w:hAnsi="仿宋" w:eastAsia="仿宋"/>
        </w:rPr>
      </w:pPr>
      <w:r>
        <w:rPr>
          <w:rFonts w:hint="eastAsia" w:ascii="仿宋" w:hAnsi="仿宋" w:eastAsia="仿宋"/>
        </w:rPr>
        <w:t>4)、合理利用土地资源，特别是少占或不占高产农田；</w:t>
      </w:r>
    </w:p>
    <w:p w14:paraId="4D228FA0">
      <w:pPr>
        <w:pStyle w:val="77"/>
        <w:rPr>
          <w:rFonts w:hint="eastAsia" w:ascii="仿宋" w:hAnsi="仿宋" w:eastAsia="仿宋"/>
        </w:rPr>
      </w:pPr>
      <w:r>
        <w:rPr>
          <w:rFonts w:hint="eastAsia" w:ascii="仿宋" w:hAnsi="仿宋" w:eastAsia="仿宋"/>
        </w:rPr>
        <w:t>5)、尽量避免或少同各种民用设施的干扰，做到便民不扰民；</w:t>
      </w:r>
    </w:p>
    <w:p w14:paraId="41ECD3A1">
      <w:pPr>
        <w:pStyle w:val="77"/>
        <w:rPr>
          <w:rFonts w:hint="eastAsia" w:ascii="仿宋" w:hAnsi="仿宋" w:eastAsia="仿宋"/>
        </w:rPr>
      </w:pPr>
      <w:r>
        <w:rPr>
          <w:rFonts w:hint="eastAsia" w:ascii="仿宋" w:hAnsi="仿宋" w:eastAsia="仿宋"/>
        </w:rPr>
        <w:t>6)、充分考虑环境保护和可持续发展的要求。</w:t>
      </w:r>
    </w:p>
    <w:p w14:paraId="357F8D8C">
      <w:pPr>
        <w:pStyle w:val="77"/>
        <w:rPr>
          <w:rFonts w:hint="eastAsia" w:ascii="仿宋" w:hAnsi="仿宋" w:eastAsia="仿宋"/>
        </w:rPr>
      </w:pPr>
      <w:r>
        <w:rPr>
          <w:rFonts w:hint="eastAsia" w:ascii="仿宋" w:hAnsi="仿宋" w:eastAsia="仿宋"/>
        </w:rPr>
        <w:t>7)、本次纵断面设计，由于本项目为既有旧路改造项目，如优化纵坡会产生大规模土方及防护工程量，增加造价；且本项目交通量较小，冬季不通车，因此设计维持原有道路纵坡。</w:t>
      </w:r>
    </w:p>
    <w:p w14:paraId="79660754">
      <w:pPr>
        <w:pStyle w:val="77"/>
        <w:rPr>
          <w:rFonts w:hint="eastAsia" w:ascii="仿宋" w:hAnsi="仿宋" w:eastAsia="仿宋"/>
        </w:rPr>
      </w:pPr>
      <w:r>
        <w:rPr>
          <w:rFonts w:hint="eastAsia" w:ascii="仿宋" w:hAnsi="仿宋" w:eastAsia="仿宋"/>
        </w:rPr>
        <w:t>根据上述原则，拟定路线方案时主要考虑了以下因素：现有公路大部分路段平纵面线形指标较高，有较高的利用价值；利用旧路可以大大减少路基填方和占地；穿越乡镇路段，公路两侧预留红线范围较宽，可以减少公路穿越乡镇带来的交通拥挤和拆迁。因此，路线总体方案为：考虑沿线村镇总体规划布局，维持原有道路线型。</w:t>
      </w:r>
    </w:p>
    <w:p w14:paraId="5A3408B1">
      <w:pPr>
        <w:pStyle w:val="207"/>
        <w:ind w:firstLine="482" w:firstLineChars="200"/>
        <w:rPr>
          <w:rFonts w:hint="eastAsia"/>
        </w:rPr>
      </w:pPr>
      <w:r>
        <w:rPr>
          <w:rFonts w:hint="eastAsia"/>
        </w:rPr>
        <w:t>安全设施</w:t>
      </w:r>
    </w:p>
    <w:p w14:paraId="193E4CCA">
      <w:pPr>
        <w:pStyle w:val="77"/>
        <w:rPr>
          <w:rFonts w:hint="eastAsia" w:ascii="仿宋" w:hAnsi="仿宋" w:eastAsia="仿宋"/>
        </w:rPr>
      </w:pPr>
      <w:r>
        <w:rPr>
          <w:rFonts w:hint="eastAsia" w:ascii="仿宋" w:hAnsi="仿宋" w:eastAsia="仿宋"/>
        </w:rPr>
        <w:t>本次设计不包含安全设施设计。</w:t>
      </w:r>
    </w:p>
    <w:p w14:paraId="061496BC">
      <w:pPr>
        <w:pStyle w:val="206"/>
        <w:rPr>
          <w:rFonts w:hint="eastAsia"/>
        </w:rPr>
      </w:pPr>
      <w:r>
        <w:rPr>
          <w:rFonts w:hint="eastAsia"/>
        </w:rPr>
        <w:t>路基设计</w:t>
      </w:r>
    </w:p>
    <w:p w14:paraId="5EE76A5C">
      <w:pPr>
        <w:pStyle w:val="207"/>
        <w:ind w:firstLine="482" w:firstLineChars="200"/>
        <w:rPr>
          <w:rFonts w:hint="eastAsia"/>
        </w:rPr>
      </w:pPr>
      <w:r>
        <w:rPr>
          <w:rFonts w:hint="eastAsia"/>
        </w:rPr>
        <w:t>原有公路技术状况及现状描述</w:t>
      </w:r>
    </w:p>
    <w:p w14:paraId="6EE830DF">
      <w:pPr>
        <w:pStyle w:val="208"/>
        <w:ind w:firstLine="482" w:firstLineChars="200"/>
        <w:rPr>
          <w:rFonts w:hint="eastAsia"/>
        </w:rPr>
      </w:pPr>
      <w:r>
        <w:rPr>
          <w:rFonts w:hint="eastAsia"/>
        </w:rPr>
        <w:t>旧路现状及使用状况</w:t>
      </w:r>
    </w:p>
    <w:p w14:paraId="5CA7D8F7">
      <w:pPr>
        <w:pStyle w:val="77"/>
        <w:rPr>
          <w:rFonts w:hint="eastAsia" w:ascii="仿宋" w:hAnsi="仿宋" w:eastAsia="仿宋"/>
        </w:rPr>
      </w:pPr>
      <w:r>
        <w:rPr>
          <w:rFonts w:hint="eastAsia" w:ascii="仿宋" w:hAnsi="仿宋" w:eastAsia="仿宋"/>
        </w:rPr>
        <w:t>本项目采用设计速度</w:t>
      </w:r>
      <w:r>
        <w:rPr>
          <w:rFonts w:ascii="仿宋" w:hAnsi="仿宋" w:eastAsia="仿宋"/>
        </w:rPr>
        <w:t>20</w:t>
      </w:r>
      <w:r>
        <w:rPr>
          <w:rFonts w:hint="eastAsia" w:ascii="仿宋" w:hAnsi="仿宋" w:eastAsia="仿宋"/>
        </w:rPr>
        <w:t>公里／小时，桥涵设计荷载为公路-Ⅱ级，路基宽</w:t>
      </w:r>
      <w:r>
        <w:rPr>
          <w:rFonts w:ascii="仿宋" w:hAnsi="仿宋" w:eastAsia="仿宋"/>
        </w:rPr>
        <w:t>5.5</w:t>
      </w:r>
      <w:r>
        <w:rPr>
          <w:rFonts w:hint="eastAsia" w:ascii="仿宋" w:hAnsi="仿宋" w:eastAsia="仿宋"/>
        </w:rPr>
        <w:t>米，路面宽</w:t>
      </w:r>
      <w:r>
        <w:rPr>
          <w:rFonts w:ascii="仿宋" w:hAnsi="仿宋" w:eastAsia="仿宋"/>
        </w:rPr>
        <w:t>4.5</w:t>
      </w:r>
      <w:r>
        <w:rPr>
          <w:rFonts w:hint="eastAsia" w:ascii="仿宋" w:hAnsi="仿宋" w:eastAsia="仿宋"/>
        </w:rPr>
        <w:t>米，土路肩2×0.5米，行车道路拱横坡双向</w:t>
      </w:r>
      <w:r>
        <w:rPr>
          <w:rFonts w:ascii="仿宋" w:hAnsi="仿宋" w:eastAsia="仿宋"/>
        </w:rPr>
        <w:t>1</w:t>
      </w:r>
      <w:r>
        <w:rPr>
          <w:rFonts w:hint="eastAsia" w:ascii="仿宋" w:hAnsi="仿宋" w:eastAsia="仿宋"/>
        </w:rPr>
        <w:t>.5% ；土路肩横坡2.5%。</w:t>
      </w:r>
    </w:p>
    <w:p w14:paraId="2E3B629C">
      <w:pPr>
        <w:pStyle w:val="77"/>
        <w:rPr>
          <w:rFonts w:hint="eastAsia" w:ascii="仿宋" w:hAnsi="仿宋" w:eastAsia="仿宋"/>
        </w:rPr>
      </w:pPr>
      <w:r>
        <w:rPr>
          <w:rFonts w:hint="eastAsia" w:ascii="仿宋" w:hAnsi="仿宋" w:eastAsia="仿宋"/>
        </w:rPr>
        <w:t>原有旧路路基边坡为1:1.5，路基高度约为</w:t>
      </w:r>
      <w:r>
        <w:rPr>
          <w:rFonts w:ascii="仿宋" w:hAnsi="仿宋" w:eastAsia="仿宋"/>
        </w:rPr>
        <w:t>1</w:t>
      </w:r>
      <w:r>
        <w:rPr>
          <w:rFonts w:hint="eastAsia" w:ascii="仿宋" w:hAnsi="仿宋" w:eastAsia="仿宋"/>
        </w:rPr>
        <w:t>～</w:t>
      </w:r>
      <w:r>
        <w:rPr>
          <w:rFonts w:ascii="仿宋" w:hAnsi="仿宋" w:eastAsia="仿宋"/>
        </w:rPr>
        <w:t>2</w:t>
      </w:r>
      <w:r>
        <w:rPr>
          <w:rFonts w:hint="eastAsia" w:ascii="仿宋" w:hAnsi="仿宋" w:eastAsia="仿宋"/>
        </w:rPr>
        <w:t>米之间，受雨水反复冲刷，部分边坡出现冲沟、坍塌现象；</w:t>
      </w:r>
    </w:p>
    <w:p w14:paraId="3742BD36">
      <w:pPr>
        <w:pStyle w:val="77"/>
        <w:rPr>
          <w:rFonts w:hint="eastAsia" w:ascii="仿宋" w:hAnsi="仿宋" w:eastAsia="仿宋"/>
        </w:rPr>
      </w:pPr>
      <w:r>
        <w:rPr>
          <w:rFonts w:hint="eastAsia" w:ascii="仿宋" w:hAnsi="仿宋" w:eastAsia="仿宋"/>
        </w:rPr>
        <w:t>现有路基两侧边坡无圬工防护，均为自然绿化防护。</w:t>
      </w:r>
    </w:p>
    <w:p w14:paraId="16617F7C">
      <w:pPr>
        <w:pStyle w:val="77"/>
        <w:rPr>
          <w:rFonts w:hint="eastAsia" w:ascii="仿宋" w:hAnsi="仿宋" w:eastAsia="仿宋"/>
        </w:rPr>
      </w:pPr>
      <w:r>
        <w:rPr>
          <w:rFonts w:hint="eastAsia" w:ascii="仿宋" w:hAnsi="仿宋" w:eastAsia="仿宋"/>
        </w:rPr>
        <w:t>本项目沿线地势平坦，降雨量小，路基排水以散排为主，无明显排水沟，路基汇水于坡脚处自然下渗、蒸发。</w:t>
      </w:r>
    </w:p>
    <w:p w14:paraId="35647ABC">
      <w:pPr>
        <w:pStyle w:val="208"/>
        <w:ind w:firstLine="482" w:firstLineChars="200"/>
        <w:rPr>
          <w:rFonts w:hint="eastAsia"/>
        </w:rPr>
      </w:pPr>
      <w:r>
        <w:rPr>
          <w:rFonts w:hint="eastAsia"/>
        </w:rPr>
        <w:t>旧路结构调查</w:t>
      </w:r>
    </w:p>
    <w:p w14:paraId="6AC54B19">
      <w:pPr>
        <w:pStyle w:val="77"/>
        <w:rPr>
          <w:rFonts w:hint="eastAsia" w:ascii="仿宋" w:hAnsi="仿宋" w:eastAsia="仿宋"/>
        </w:rPr>
      </w:pPr>
      <w:r>
        <w:rPr>
          <w:rFonts w:hint="eastAsia" w:ascii="仿宋" w:hAnsi="仿宋" w:eastAsia="仿宋"/>
        </w:rPr>
        <w:t>经调查，原有旧路结构为5cm沥青混凝土+</w:t>
      </w:r>
      <w:r>
        <w:rPr>
          <w:rFonts w:ascii="仿宋" w:hAnsi="仿宋" w:eastAsia="仿宋"/>
        </w:rPr>
        <w:t>20</w:t>
      </w:r>
      <w:r>
        <w:rPr>
          <w:rFonts w:hint="eastAsia" w:ascii="仿宋" w:hAnsi="仿宋" w:eastAsia="仿宋"/>
        </w:rPr>
        <w:t>cm水泥混凝土基层+</w:t>
      </w:r>
      <w:r>
        <w:rPr>
          <w:rFonts w:ascii="仿宋" w:hAnsi="仿宋" w:eastAsia="仿宋"/>
        </w:rPr>
        <w:t>20cm</w:t>
      </w:r>
      <w:r>
        <w:rPr>
          <w:rFonts w:hint="eastAsia" w:ascii="仿宋" w:hAnsi="仿宋" w:eastAsia="仿宋"/>
        </w:rPr>
        <w:t>山皮石。</w:t>
      </w:r>
    </w:p>
    <w:p w14:paraId="2DDEDEE4">
      <w:pPr>
        <w:pStyle w:val="207"/>
        <w:ind w:firstLine="482" w:firstLineChars="200"/>
        <w:rPr>
          <w:rFonts w:hint="eastAsia"/>
        </w:rPr>
      </w:pPr>
      <w:r>
        <w:rPr>
          <w:rFonts w:hint="eastAsia"/>
        </w:rPr>
        <w:t>路基设计原则、路基横断面布置及加宽、超高方案的说明</w:t>
      </w:r>
    </w:p>
    <w:p w14:paraId="5A199E61">
      <w:pPr>
        <w:pStyle w:val="208"/>
        <w:ind w:firstLine="482" w:firstLineChars="200"/>
        <w:rPr>
          <w:rFonts w:hint="eastAsia"/>
        </w:rPr>
      </w:pPr>
      <w:r>
        <w:rPr>
          <w:rFonts w:hint="eastAsia"/>
        </w:rPr>
        <w:t>路基设计原则</w:t>
      </w:r>
    </w:p>
    <w:p w14:paraId="23DDC901">
      <w:pPr>
        <w:pStyle w:val="77"/>
        <w:rPr>
          <w:rFonts w:hint="eastAsia" w:ascii="仿宋" w:hAnsi="仿宋" w:eastAsia="仿宋"/>
        </w:rPr>
      </w:pPr>
      <w:r>
        <w:rPr>
          <w:rFonts w:hint="eastAsia" w:ascii="仿宋" w:hAnsi="仿宋" w:eastAsia="仿宋"/>
        </w:rPr>
        <w:t>路基工程设计在交通运输部“安全、环保、舒适、和谐”新理念的基础上，遵循因地制宜、就地取材、以防为主、防治结合、安全经济、造型美观、顺应自然、与环境景观相协调的设计思想，具体结合本项目实际情况，确定路基设计的基本原则为“安全耐久、经济适用、自然和谐”。</w:t>
      </w:r>
    </w:p>
    <w:p w14:paraId="0E74F612">
      <w:pPr>
        <w:pStyle w:val="77"/>
        <w:rPr>
          <w:rFonts w:hint="eastAsia" w:ascii="仿宋" w:hAnsi="仿宋" w:eastAsia="仿宋"/>
        </w:rPr>
      </w:pPr>
      <w:r>
        <w:rPr>
          <w:rFonts w:hint="eastAsia" w:ascii="仿宋" w:hAnsi="仿宋" w:eastAsia="仿宋"/>
        </w:rPr>
        <w:t>1）安全耐久：即要求在工程设计阶段就要全面考虑工程质量及后期养护工作，综合考虑施工难易程度、质量过程控制的难易程度、方案设计可行性、材料耐久性、地方经验的因素，优先选择使用成熟的工程方案及工艺；同时注重新材料、新工艺的应用。如：边坡防护根据地形情况，采用可靠的防护方案；防护、排水混凝土结构充分考虑东北严寒地区环境影响。</w:t>
      </w:r>
    </w:p>
    <w:p w14:paraId="3810C7B0">
      <w:pPr>
        <w:pStyle w:val="77"/>
        <w:rPr>
          <w:rFonts w:hint="eastAsia" w:ascii="仿宋" w:hAnsi="仿宋" w:eastAsia="仿宋"/>
        </w:rPr>
      </w:pPr>
      <w:r>
        <w:rPr>
          <w:rFonts w:hint="eastAsia" w:ascii="仿宋" w:hAnsi="仿宋" w:eastAsia="仿宋"/>
        </w:rPr>
        <w:t>2）经济适用：对设计方案进行大量、充分的比选，在比选过程中把节约投资放在一个较重要的位置来考虑。综合考虑材料、环境、地域特点等各种因素，充分吸取以往路基设计、施工及养护经验，确定路基设计工程方案，保证其适用性及经济性。如：结合已建成公路的经验，在填前处理、路床处理及不良地质处理上采用施工简便、质量容易保证、经济的工程处理措施。</w:t>
      </w:r>
    </w:p>
    <w:p w14:paraId="76C978C9">
      <w:pPr>
        <w:pStyle w:val="77"/>
        <w:rPr>
          <w:rFonts w:hint="eastAsia" w:ascii="仿宋" w:hAnsi="仿宋" w:eastAsia="仿宋"/>
        </w:rPr>
      </w:pPr>
      <w:r>
        <w:rPr>
          <w:rFonts w:hint="eastAsia" w:ascii="仿宋" w:hAnsi="仿宋" w:eastAsia="仿宋"/>
        </w:rPr>
        <w:t>3）自然和谐：在路基设计上坚持“不破坏就是最大的保护”原则，注重景观融合、注重细部处理，树立外观质量也是工程质量一部分的观念。使公路尽量与周围环境相融合，如：路基断面采用圆弧化处理；尽量减少生硬的圬工防护。</w:t>
      </w:r>
    </w:p>
    <w:p w14:paraId="2A2BACA9">
      <w:pPr>
        <w:pStyle w:val="208"/>
        <w:ind w:firstLine="482" w:firstLineChars="200"/>
        <w:rPr>
          <w:rFonts w:hint="eastAsia"/>
        </w:rPr>
      </w:pPr>
      <w:r>
        <w:rPr>
          <w:rFonts w:hint="eastAsia"/>
        </w:rPr>
        <w:t>路基横断面布置</w:t>
      </w:r>
    </w:p>
    <w:p w14:paraId="688B89C3">
      <w:pPr>
        <w:pStyle w:val="77"/>
        <w:rPr>
          <w:rFonts w:hint="eastAsia" w:ascii="仿宋" w:hAnsi="仿宋" w:eastAsia="仿宋"/>
        </w:rPr>
      </w:pPr>
      <w:r>
        <w:rPr>
          <w:rFonts w:hint="eastAsia" w:ascii="仿宋" w:hAnsi="仿宋" w:eastAsia="仿宋"/>
        </w:rPr>
        <w:t>路基宽度5</w:t>
      </w:r>
      <w:r>
        <w:rPr>
          <w:rFonts w:ascii="仿宋" w:hAnsi="仿宋" w:eastAsia="仿宋"/>
        </w:rPr>
        <w:t>.5</w:t>
      </w:r>
      <w:r>
        <w:rPr>
          <w:rFonts w:hint="eastAsia" w:ascii="仿宋" w:hAnsi="仿宋" w:eastAsia="仿宋"/>
        </w:rPr>
        <w:t>米，路面宽4.5米，土路肩宽2×0.5米，路拱横坡双向1.5％，土路肩横坡2.5%。</w:t>
      </w:r>
    </w:p>
    <w:p w14:paraId="4C30EAC9">
      <w:pPr>
        <w:pStyle w:val="208"/>
        <w:ind w:firstLine="482" w:firstLineChars="200"/>
        <w:rPr>
          <w:rFonts w:hint="eastAsia"/>
        </w:rPr>
      </w:pPr>
      <w:r>
        <w:rPr>
          <w:rFonts w:hint="eastAsia"/>
        </w:rPr>
        <w:t>路基超高、加宽</w:t>
      </w:r>
    </w:p>
    <w:p w14:paraId="0BABFEE8">
      <w:pPr>
        <w:pStyle w:val="77"/>
        <w:rPr>
          <w:rFonts w:hint="eastAsia" w:ascii="仿宋" w:hAnsi="仿宋" w:eastAsia="仿宋"/>
        </w:rPr>
      </w:pPr>
      <w:r>
        <w:rPr>
          <w:rFonts w:hint="eastAsia" w:ascii="仿宋" w:hAnsi="仿宋" w:eastAsia="仿宋"/>
        </w:rPr>
        <w:t>本项目为水毁重建项目，因此本次设计维持原有技术标准，超高、加宽位置原有标准。</w:t>
      </w:r>
    </w:p>
    <w:p w14:paraId="605ED49C">
      <w:pPr>
        <w:pStyle w:val="207"/>
        <w:ind w:firstLine="482" w:firstLineChars="200"/>
        <w:rPr>
          <w:rFonts w:hint="eastAsia"/>
        </w:rPr>
      </w:pPr>
      <w:r>
        <w:rPr>
          <w:rFonts w:hint="eastAsia"/>
        </w:rPr>
        <w:t>路基压实度标准与压实度及填料强度要求的说明</w:t>
      </w:r>
    </w:p>
    <w:p w14:paraId="310F45B5">
      <w:pPr>
        <w:pStyle w:val="77"/>
        <w:rPr>
          <w:rFonts w:hint="eastAsia" w:ascii="仿宋" w:hAnsi="仿宋" w:eastAsia="仿宋"/>
        </w:rPr>
      </w:pPr>
      <w:r>
        <w:rPr>
          <w:rFonts w:hint="eastAsia" w:ascii="仿宋" w:hAnsi="仿宋" w:eastAsia="仿宋"/>
        </w:rPr>
        <w:t>路基压实度按照《公路路基设计规范》（JTG D30-2015）执行，路基压实采用重型击实标准，具体要求见下表。</w:t>
      </w:r>
    </w:p>
    <w:p w14:paraId="31F1ECD9">
      <w:pPr>
        <w:pStyle w:val="77"/>
        <w:rPr>
          <w:rFonts w:hint="eastAsia" w:ascii="仿宋" w:hAnsi="仿宋" w:eastAsia="仿宋"/>
        </w:rPr>
      </w:pPr>
      <w:r>
        <w:rPr>
          <w:rFonts w:hint="eastAsia" w:ascii="仿宋" w:hAnsi="仿宋" w:eastAsia="仿宋"/>
        </w:rPr>
        <w:t>路堤基底的压实度（重型）要求不小于90%。零填及挖方段的路床基底压实度≥90%。</w:t>
      </w:r>
    </w:p>
    <w:p w14:paraId="29180E3C">
      <w:pPr>
        <w:pStyle w:val="212"/>
        <w:rPr>
          <w:rFonts w:hint="eastAsia"/>
        </w:rPr>
      </w:pPr>
      <w:r>
        <w:rPr>
          <w:rFonts w:hint="eastAsia"/>
        </w:rPr>
        <w:t>路基压实标准及填料强度要求</w:t>
      </w:r>
    </w:p>
    <w:tbl>
      <w:tblPr>
        <w:tblStyle w:val="27"/>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7"/>
        <w:gridCol w:w="1280"/>
        <w:gridCol w:w="1993"/>
        <w:gridCol w:w="1564"/>
        <w:gridCol w:w="1850"/>
        <w:gridCol w:w="1992"/>
      </w:tblGrid>
      <w:tr w14:paraId="6A46880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1273" w:type="pct"/>
            <w:gridSpan w:val="2"/>
            <w:shd w:val="clear" w:color="auto" w:fill="D9E2F3" w:themeFill="accent1" w:themeFillTint="33"/>
            <w:vAlign w:val="center"/>
          </w:tcPr>
          <w:p w14:paraId="1AE6DFA0">
            <w:pPr>
              <w:jc w:val="center"/>
              <w:rPr>
                <w:rFonts w:hint="eastAsia" w:ascii="仿宋" w:hAnsi="仿宋" w:eastAsia="仿宋" w:cs="宋体"/>
                <w:sz w:val="21"/>
                <w:szCs w:val="21"/>
              </w:rPr>
            </w:pPr>
            <w:r>
              <w:rPr>
                <w:rFonts w:hint="eastAsia" w:ascii="仿宋" w:hAnsi="仿宋" w:eastAsia="仿宋" w:cs="宋体"/>
                <w:sz w:val="21"/>
                <w:szCs w:val="21"/>
              </w:rPr>
              <w:t>填挖类别</w:t>
            </w:r>
          </w:p>
        </w:tc>
        <w:tc>
          <w:tcPr>
            <w:tcW w:w="1004" w:type="pct"/>
            <w:shd w:val="clear" w:color="auto" w:fill="D9E2F3" w:themeFill="accent1" w:themeFillTint="33"/>
            <w:vAlign w:val="center"/>
          </w:tcPr>
          <w:p w14:paraId="261DD013">
            <w:pPr>
              <w:jc w:val="center"/>
              <w:rPr>
                <w:rFonts w:hint="eastAsia" w:ascii="仿宋" w:hAnsi="仿宋" w:eastAsia="仿宋" w:cs="宋体"/>
                <w:sz w:val="21"/>
                <w:szCs w:val="21"/>
              </w:rPr>
            </w:pPr>
            <w:r>
              <w:rPr>
                <w:rFonts w:hint="eastAsia" w:ascii="仿宋" w:hAnsi="仿宋" w:eastAsia="仿宋" w:cs="宋体"/>
                <w:sz w:val="21"/>
                <w:szCs w:val="21"/>
              </w:rPr>
              <w:t>路床顶面以下深度（cm）</w:t>
            </w:r>
          </w:p>
        </w:tc>
        <w:tc>
          <w:tcPr>
            <w:tcW w:w="788" w:type="pct"/>
            <w:shd w:val="clear" w:color="auto" w:fill="D9E2F3" w:themeFill="accent1" w:themeFillTint="33"/>
            <w:vAlign w:val="center"/>
          </w:tcPr>
          <w:p w14:paraId="60C41F4C">
            <w:pPr>
              <w:jc w:val="center"/>
              <w:rPr>
                <w:rFonts w:hint="eastAsia" w:ascii="仿宋" w:hAnsi="仿宋" w:eastAsia="仿宋" w:cs="宋体"/>
                <w:sz w:val="21"/>
                <w:szCs w:val="21"/>
              </w:rPr>
            </w:pPr>
            <w:r>
              <w:rPr>
                <w:rFonts w:hint="eastAsia" w:ascii="仿宋" w:hAnsi="仿宋" w:eastAsia="仿宋" w:cs="宋体"/>
                <w:sz w:val="21"/>
                <w:szCs w:val="21"/>
              </w:rPr>
              <w:t>压实度</w:t>
            </w:r>
          </w:p>
          <w:p w14:paraId="5EF1A1DD">
            <w:pPr>
              <w:jc w:val="center"/>
              <w:rPr>
                <w:rFonts w:hint="eastAsia" w:ascii="仿宋" w:hAnsi="仿宋" w:eastAsia="仿宋" w:cs="宋体"/>
                <w:sz w:val="21"/>
                <w:szCs w:val="21"/>
              </w:rPr>
            </w:pPr>
            <w:r>
              <w:rPr>
                <w:rFonts w:hint="eastAsia" w:ascii="仿宋" w:hAnsi="仿宋" w:eastAsia="仿宋" w:cs="宋体"/>
                <w:sz w:val="21"/>
                <w:szCs w:val="21"/>
              </w:rPr>
              <w:t>（%）</w:t>
            </w:r>
          </w:p>
        </w:tc>
        <w:tc>
          <w:tcPr>
            <w:tcW w:w="932" w:type="pct"/>
            <w:shd w:val="clear" w:color="auto" w:fill="D9E2F3" w:themeFill="accent1" w:themeFillTint="33"/>
            <w:vAlign w:val="center"/>
          </w:tcPr>
          <w:p w14:paraId="76DB93C4">
            <w:pPr>
              <w:jc w:val="center"/>
              <w:rPr>
                <w:rFonts w:hint="eastAsia" w:ascii="仿宋" w:hAnsi="仿宋" w:eastAsia="仿宋" w:cs="宋体"/>
                <w:sz w:val="21"/>
                <w:szCs w:val="21"/>
              </w:rPr>
            </w:pPr>
            <w:r>
              <w:rPr>
                <w:rFonts w:hint="eastAsia" w:ascii="仿宋" w:hAnsi="仿宋" w:eastAsia="仿宋" w:cs="宋体"/>
                <w:sz w:val="21"/>
                <w:szCs w:val="21"/>
              </w:rPr>
              <w:t>填料最小CBR值</w:t>
            </w:r>
          </w:p>
        </w:tc>
        <w:tc>
          <w:tcPr>
            <w:tcW w:w="1003" w:type="pct"/>
            <w:shd w:val="clear" w:color="auto" w:fill="D9E2F3" w:themeFill="accent1" w:themeFillTint="33"/>
            <w:vAlign w:val="center"/>
          </w:tcPr>
          <w:p w14:paraId="60C0C967">
            <w:pPr>
              <w:jc w:val="center"/>
              <w:rPr>
                <w:rFonts w:hint="eastAsia" w:ascii="仿宋" w:hAnsi="仿宋" w:eastAsia="仿宋" w:cs="宋体"/>
                <w:sz w:val="21"/>
                <w:szCs w:val="21"/>
              </w:rPr>
            </w:pPr>
            <w:r>
              <w:rPr>
                <w:rFonts w:hint="eastAsia" w:ascii="仿宋" w:hAnsi="仿宋" w:eastAsia="仿宋" w:cs="宋体"/>
                <w:sz w:val="21"/>
                <w:szCs w:val="21"/>
              </w:rPr>
              <w:t>填料最大粒径</w:t>
            </w:r>
          </w:p>
          <w:p w14:paraId="5EFB505A">
            <w:pPr>
              <w:jc w:val="center"/>
              <w:rPr>
                <w:rFonts w:hint="eastAsia" w:ascii="仿宋" w:hAnsi="仿宋" w:eastAsia="仿宋" w:cs="宋体"/>
                <w:sz w:val="21"/>
                <w:szCs w:val="21"/>
              </w:rPr>
            </w:pPr>
            <w:r>
              <w:rPr>
                <w:rFonts w:hint="eastAsia" w:ascii="仿宋" w:hAnsi="仿宋" w:eastAsia="仿宋" w:cs="宋体"/>
                <w:sz w:val="21"/>
                <w:szCs w:val="21"/>
              </w:rPr>
              <w:t>（cm）</w:t>
            </w:r>
          </w:p>
        </w:tc>
      </w:tr>
      <w:tr w14:paraId="14861E7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8" w:type="pct"/>
            <w:vMerge w:val="restart"/>
            <w:vAlign w:val="center"/>
          </w:tcPr>
          <w:p w14:paraId="2EDD4DA2">
            <w:pPr>
              <w:jc w:val="center"/>
              <w:rPr>
                <w:rFonts w:hint="eastAsia" w:ascii="仿宋" w:hAnsi="仿宋" w:eastAsia="仿宋" w:cs="宋体"/>
                <w:sz w:val="21"/>
                <w:szCs w:val="21"/>
              </w:rPr>
            </w:pPr>
            <w:r>
              <w:rPr>
                <w:rFonts w:hint="eastAsia" w:ascii="仿宋" w:hAnsi="仿宋" w:eastAsia="仿宋" w:cs="宋体"/>
                <w:sz w:val="21"/>
                <w:szCs w:val="21"/>
              </w:rPr>
              <w:t>填方路基</w:t>
            </w:r>
          </w:p>
        </w:tc>
        <w:tc>
          <w:tcPr>
            <w:tcW w:w="645" w:type="pct"/>
            <w:vAlign w:val="center"/>
          </w:tcPr>
          <w:p w14:paraId="7AF81890">
            <w:pPr>
              <w:jc w:val="center"/>
              <w:rPr>
                <w:rFonts w:hint="eastAsia" w:ascii="仿宋" w:hAnsi="仿宋" w:eastAsia="仿宋" w:cs="宋体"/>
                <w:sz w:val="21"/>
                <w:szCs w:val="21"/>
              </w:rPr>
            </w:pPr>
            <w:r>
              <w:rPr>
                <w:rFonts w:hint="eastAsia" w:ascii="仿宋" w:hAnsi="仿宋" w:eastAsia="仿宋" w:cs="宋体"/>
                <w:sz w:val="21"/>
                <w:szCs w:val="21"/>
              </w:rPr>
              <w:t>上路床</w:t>
            </w:r>
          </w:p>
        </w:tc>
        <w:tc>
          <w:tcPr>
            <w:tcW w:w="1004" w:type="pct"/>
            <w:vAlign w:val="center"/>
          </w:tcPr>
          <w:p w14:paraId="1AD34EEA">
            <w:pPr>
              <w:jc w:val="center"/>
              <w:rPr>
                <w:rFonts w:hint="eastAsia" w:ascii="仿宋" w:hAnsi="仿宋" w:eastAsia="仿宋" w:cs="宋体"/>
                <w:sz w:val="21"/>
                <w:szCs w:val="21"/>
              </w:rPr>
            </w:pPr>
            <w:r>
              <w:rPr>
                <w:rFonts w:hint="eastAsia" w:ascii="仿宋" w:hAnsi="仿宋" w:eastAsia="仿宋" w:cs="宋体"/>
                <w:sz w:val="21"/>
                <w:szCs w:val="21"/>
              </w:rPr>
              <w:t>0～30</w:t>
            </w:r>
          </w:p>
        </w:tc>
        <w:tc>
          <w:tcPr>
            <w:tcW w:w="788" w:type="pct"/>
            <w:vAlign w:val="center"/>
          </w:tcPr>
          <w:p w14:paraId="37873190">
            <w:pPr>
              <w:jc w:val="center"/>
              <w:rPr>
                <w:rFonts w:hint="eastAsia" w:ascii="仿宋" w:hAnsi="仿宋" w:eastAsia="仿宋" w:cs="宋体"/>
                <w:sz w:val="21"/>
                <w:szCs w:val="21"/>
              </w:rPr>
            </w:pPr>
            <w:r>
              <w:rPr>
                <w:rFonts w:hint="eastAsia" w:ascii="仿宋" w:hAnsi="仿宋" w:eastAsia="仿宋" w:cs="宋体"/>
                <w:sz w:val="21"/>
                <w:szCs w:val="21"/>
              </w:rPr>
              <w:t>≥95</w:t>
            </w:r>
          </w:p>
        </w:tc>
        <w:tc>
          <w:tcPr>
            <w:tcW w:w="932" w:type="pct"/>
            <w:vAlign w:val="center"/>
          </w:tcPr>
          <w:p w14:paraId="588530E3">
            <w:pPr>
              <w:jc w:val="center"/>
              <w:rPr>
                <w:rFonts w:hint="eastAsia" w:ascii="仿宋" w:hAnsi="仿宋" w:eastAsia="仿宋" w:cs="宋体"/>
                <w:sz w:val="21"/>
                <w:szCs w:val="21"/>
              </w:rPr>
            </w:pPr>
            <w:r>
              <w:rPr>
                <w:rFonts w:hint="eastAsia" w:ascii="仿宋" w:hAnsi="仿宋" w:eastAsia="仿宋" w:cs="宋体"/>
                <w:sz w:val="21"/>
                <w:szCs w:val="21"/>
              </w:rPr>
              <w:t>6</w:t>
            </w:r>
          </w:p>
        </w:tc>
        <w:tc>
          <w:tcPr>
            <w:tcW w:w="1003" w:type="pct"/>
            <w:vAlign w:val="center"/>
          </w:tcPr>
          <w:p w14:paraId="08B14A90">
            <w:pPr>
              <w:jc w:val="center"/>
              <w:rPr>
                <w:rFonts w:hint="eastAsia" w:ascii="仿宋" w:hAnsi="仿宋" w:eastAsia="仿宋" w:cs="宋体"/>
                <w:sz w:val="21"/>
                <w:szCs w:val="21"/>
              </w:rPr>
            </w:pPr>
            <w:r>
              <w:rPr>
                <w:rFonts w:hint="eastAsia" w:ascii="仿宋" w:hAnsi="仿宋" w:eastAsia="仿宋" w:cs="宋体"/>
                <w:sz w:val="21"/>
                <w:szCs w:val="21"/>
              </w:rPr>
              <w:t>10</w:t>
            </w:r>
          </w:p>
        </w:tc>
      </w:tr>
      <w:tr w14:paraId="75D9B75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8" w:type="pct"/>
            <w:vMerge w:val="continue"/>
            <w:vAlign w:val="center"/>
          </w:tcPr>
          <w:p w14:paraId="784BEF94">
            <w:pPr>
              <w:jc w:val="center"/>
              <w:rPr>
                <w:rFonts w:hint="eastAsia" w:ascii="仿宋" w:hAnsi="仿宋" w:eastAsia="仿宋" w:cs="宋体"/>
                <w:sz w:val="21"/>
                <w:szCs w:val="21"/>
              </w:rPr>
            </w:pPr>
          </w:p>
        </w:tc>
        <w:tc>
          <w:tcPr>
            <w:tcW w:w="645" w:type="pct"/>
            <w:vAlign w:val="center"/>
          </w:tcPr>
          <w:p w14:paraId="143308FD">
            <w:pPr>
              <w:jc w:val="center"/>
              <w:rPr>
                <w:rFonts w:hint="eastAsia" w:ascii="仿宋" w:hAnsi="仿宋" w:eastAsia="仿宋" w:cs="宋体"/>
                <w:sz w:val="21"/>
                <w:szCs w:val="21"/>
              </w:rPr>
            </w:pPr>
            <w:r>
              <w:rPr>
                <w:rFonts w:hint="eastAsia" w:ascii="仿宋" w:hAnsi="仿宋" w:eastAsia="仿宋" w:cs="宋体"/>
                <w:sz w:val="21"/>
                <w:szCs w:val="21"/>
              </w:rPr>
              <w:t>下路床</w:t>
            </w:r>
          </w:p>
        </w:tc>
        <w:tc>
          <w:tcPr>
            <w:tcW w:w="1004" w:type="pct"/>
            <w:vAlign w:val="center"/>
          </w:tcPr>
          <w:p w14:paraId="04EC8E15">
            <w:pPr>
              <w:jc w:val="center"/>
              <w:rPr>
                <w:rFonts w:hint="eastAsia" w:ascii="仿宋" w:hAnsi="仿宋" w:eastAsia="仿宋" w:cs="宋体"/>
                <w:sz w:val="21"/>
                <w:szCs w:val="21"/>
              </w:rPr>
            </w:pPr>
            <w:r>
              <w:rPr>
                <w:rFonts w:hint="eastAsia" w:ascii="仿宋" w:hAnsi="仿宋" w:eastAsia="仿宋" w:cs="宋体"/>
                <w:sz w:val="21"/>
                <w:szCs w:val="21"/>
              </w:rPr>
              <w:t>30～120</w:t>
            </w:r>
          </w:p>
        </w:tc>
        <w:tc>
          <w:tcPr>
            <w:tcW w:w="788" w:type="pct"/>
            <w:vAlign w:val="center"/>
          </w:tcPr>
          <w:p w14:paraId="021369A4">
            <w:pPr>
              <w:jc w:val="center"/>
              <w:rPr>
                <w:rFonts w:hint="eastAsia" w:ascii="仿宋" w:hAnsi="仿宋" w:eastAsia="仿宋" w:cs="宋体"/>
                <w:sz w:val="21"/>
                <w:szCs w:val="21"/>
              </w:rPr>
            </w:pPr>
            <w:r>
              <w:rPr>
                <w:rFonts w:hint="eastAsia" w:ascii="仿宋" w:hAnsi="仿宋" w:eastAsia="仿宋" w:cs="宋体"/>
                <w:sz w:val="21"/>
                <w:szCs w:val="21"/>
              </w:rPr>
              <w:t>≥95</w:t>
            </w:r>
          </w:p>
        </w:tc>
        <w:tc>
          <w:tcPr>
            <w:tcW w:w="932" w:type="pct"/>
            <w:vAlign w:val="center"/>
          </w:tcPr>
          <w:p w14:paraId="3DC859EC">
            <w:pPr>
              <w:jc w:val="center"/>
              <w:rPr>
                <w:rFonts w:hint="eastAsia" w:ascii="仿宋" w:hAnsi="仿宋" w:eastAsia="仿宋" w:cs="宋体"/>
                <w:sz w:val="21"/>
                <w:szCs w:val="21"/>
              </w:rPr>
            </w:pPr>
            <w:r>
              <w:rPr>
                <w:rFonts w:hint="eastAsia" w:ascii="仿宋" w:hAnsi="仿宋" w:eastAsia="仿宋" w:cs="宋体"/>
                <w:sz w:val="21"/>
                <w:szCs w:val="21"/>
              </w:rPr>
              <w:t>4</w:t>
            </w:r>
          </w:p>
        </w:tc>
        <w:tc>
          <w:tcPr>
            <w:tcW w:w="1003" w:type="pct"/>
            <w:vAlign w:val="center"/>
          </w:tcPr>
          <w:p w14:paraId="4A2E860F">
            <w:pPr>
              <w:jc w:val="center"/>
              <w:rPr>
                <w:rFonts w:hint="eastAsia" w:ascii="仿宋" w:hAnsi="仿宋" w:eastAsia="仿宋" w:cs="宋体"/>
                <w:sz w:val="21"/>
                <w:szCs w:val="21"/>
              </w:rPr>
            </w:pPr>
            <w:r>
              <w:rPr>
                <w:rFonts w:hint="eastAsia" w:ascii="仿宋" w:hAnsi="仿宋" w:eastAsia="仿宋" w:cs="宋体"/>
                <w:sz w:val="21"/>
                <w:szCs w:val="21"/>
              </w:rPr>
              <w:t>10</w:t>
            </w:r>
          </w:p>
        </w:tc>
      </w:tr>
      <w:tr w14:paraId="0CA8BED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8" w:type="pct"/>
            <w:vMerge w:val="continue"/>
            <w:vAlign w:val="center"/>
          </w:tcPr>
          <w:p w14:paraId="3C5AEF1A">
            <w:pPr>
              <w:jc w:val="center"/>
              <w:rPr>
                <w:rFonts w:hint="eastAsia" w:ascii="仿宋" w:hAnsi="仿宋" w:eastAsia="仿宋" w:cs="宋体"/>
                <w:sz w:val="21"/>
                <w:szCs w:val="21"/>
              </w:rPr>
            </w:pPr>
          </w:p>
        </w:tc>
        <w:tc>
          <w:tcPr>
            <w:tcW w:w="645" w:type="pct"/>
            <w:vAlign w:val="center"/>
          </w:tcPr>
          <w:p w14:paraId="07938D58">
            <w:pPr>
              <w:jc w:val="center"/>
              <w:rPr>
                <w:rFonts w:hint="eastAsia" w:ascii="仿宋" w:hAnsi="仿宋" w:eastAsia="仿宋" w:cs="宋体"/>
                <w:sz w:val="21"/>
                <w:szCs w:val="21"/>
              </w:rPr>
            </w:pPr>
            <w:r>
              <w:rPr>
                <w:rFonts w:hint="eastAsia" w:ascii="仿宋" w:hAnsi="仿宋" w:eastAsia="仿宋" w:cs="宋体"/>
                <w:sz w:val="21"/>
                <w:szCs w:val="21"/>
              </w:rPr>
              <w:t>上路堤</w:t>
            </w:r>
          </w:p>
        </w:tc>
        <w:tc>
          <w:tcPr>
            <w:tcW w:w="1004" w:type="pct"/>
            <w:vAlign w:val="center"/>
          </w:tcPr>
          <w:p w14:paraId="42A214BA">
            <w:pPr>
              <w:jc w:val="center"/>
              <w:rPr>
                <w:rFonts w:hint="eastAsia" w:ascii="仿宋" w:hAnsi="仿宋" w:eastAsia="仿宋" w:cs="宋体"/>
                <w:sz w:val="21"/>
                <w:szCs w:val="21"/>
              </w:rPr>
            </w:pPr>
            <w:r>
              <w:rPr>
                <w:rFonts w:hint="eastAsia" w:ascii="仿宋" w:hAnsi="仿宋" w:eastAsia="仿宋" w:cs="宋体"/>
                <w:sz w:val="21"/>
                <w:szCs w:val="21"/>
              </w:rPr>
              <w:t>120～190</w:t>
            </w:r>
          </w:p>
        </w:tc>
        <w:tc>
          <w:tcPr>
            <w:tcW w:w="788" w:type="pct"/>
            <w:vAlign w:val="center"/>
          </w:tcPr>
          <w:p w14:paraId="5F020068">
            <w:pPr>
              <w:jc w:val="center"/>
              <w:rPr>
                <w:rFonts w:hint="eastAsia" w:ascii="仿宋" w:hAnsi="仿宋" w:eastAsia="仿宋" w:cs="宋体"/>
                <w:sz w:val="21"/>
                <w:szCs w:val="21"/>
              </w:rPr>
            </w:pPr>
            <w:r>
              <w:rPr>
                <w:rFonts w:hint="eastAsia" w:ascii="仿宋" w:hAnsi="仿宋" w:eastAsia="仿宋" w:cs="宋体"/>
                <w:sz w:val="21"/>
                <w:szCs w:val="21"/>
              </w:rPr>
              <w:t>≥94</w:t>
            </w:r>
          </w:p>
        </w:tc>
        <w:tc>
          <w:tcPr>
            <w:tcW w:w="932" w:type="pct"/>
            <w:vAlign w:val="center"/>
          </w:tcPr>
          <w:p w14:paraId="6AD671A4">
            <w:pPr>
              <w:jc w:val="center"/>
              <w:rPr>
                <w:rFonts w:hint="eastAsia" w:ascii="仿宋" w:hAnsi="仿宋" w:eastAsia="仿宋" w:cs="宋体"/>
                <w:sz w:val="21"/>
                <w:szCs w:val="21"/>
              </w:rPr>
            </w:pPr>
            <w:r>
              <w:rPr>
                <w:rFonts w:hint="eastAsia" w:ascii="仿宋" w:hAnsi="仿宋" w:eastAsia="仿宋" w:cs="宋体"/>
                <w:sz w:val="21"/>
                <w:szCs w:val="21"/>
              </w:rPr>
              <w:t>3</w:t>
            </w:r>
          </w:p>
        </w:tc>
        <w:tc>
          <w:tcPr>
            <w:tcW w:w="1003" w:type="pct"/>
            <w:vAlign w:val="center"/>
          </w:tcPr>
          <w:p w14:paraId="3FD294F1">
            <w:pPr>
              <w:jc w:val="center"/>
              <w:rPr>
                <w:rFonts w:hint="eastAsia" w:ascii="仿宋" w:hAnsi="仿宋" w:eastAsia="仿宋" w:cs="宋体"/>
                <w:sz w:val="21"/>
                <w:szCs w:val="21"/>
              </w:rPr>
            </w:pPr>
            <w:r>
              <w:rPr>
                <w:rFonts w:hint="eastAsia" w:ascii="仿宋" w:hAnsi="仿宋" w:eastAsia="仿宋" w:cs="宋体"/>
                <w:sz w:val="21"/>
                <w:szCs w:val="21"/>
              </w:rPr>
              <w:t>15</w:t>
            </w:r>
          </w:p>
        </w:tc>
      </w:tr>
      <w:tr w14:paraId="2F051B7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8" w:type="pct"/>
            <w:vMerge w:val="continue"/>
            <w:vAlign w:val="center"/>
          </w:tcPr>
          <w:p w14:paraId="40ADF70D">
            <w:pPr>
              <w:jc w:val="center"/>
              <w:rPr>
                <w:rFonts w:hint="eastAsia" w:ascii="仿宋" w:hAnsi="仿宋" w:eastAsia="仿宋" w:cs="宋体"/>
                <w:sz w:val="21"/>
                <w:szCs w:val="21"/>
              </w:rPr>
            </w:pPr>
          </w:p>
        </w:tc>
        <w:tc>
          <w:tcPr>
            <w:tcW w:w="645" w:type="pct"/>
            <w:vAlign w:val="center"/>
          </w:tcPr>
          <w:p w14:paraId="6CEB895C">
            <w:pPr>
              <w:jc w:val="center"/>
              <w:rPr>
                <w:rFonts w:hint="eastAsia" w:ascii="仿宋" w:hAnsi="仿宋" w:eastAsia="仿宋" w:cs="宋体"/>
                <w:sz w:val="21"/>
                <w:szCs w:val="21"/>
              </w:rPr>
            </w:pPr>
            <w:r>
              <w:rPr>
                <w:rFonts w:hint="eastAsia" w:ascii="仿宋" w:hAnsi="仿宋" w:eastAsia="仿宋" w:cs="宋体"/>
                <w:sz w:val="21"/>
                <w:szCs w:val="21"/>
              </w:rPr>
              <w:t>下路堤</w:t>
            </w:r>
          </w:p>
        </w:tc>
        <w:tc>
          <w:tcPr>
            <w:tcW w:w="1004" w:type="pct"/>
            <w:vAlign w:val="center"/>
          </w:tcPr>
          <w:p w14:paraId="23016DE2">
            <w:pPr>
              <w:jc w:val="center"/>
              <w:rPr>
                <w:rFonts w:hint="eastAsia" w:ascii="仿宋" w:hAnsi="仿宋" w:eastAsia="仿宋" w:cs="宋体"/>
                <w:sz w:val="21"/>
                <w:szCs w:val="21"/>
              </w:rPr>
            </w:pPr>
            <w:r>
              <w:rPr>
                <w:rFonts w:hint="eastAsia" w:ascii="仿宋" w:hAnsi="仿宋" w:eastAsia="仿宋" w:cs="宋体"/>
                <w:sz w:val="21"/>
                <w:szCs w:val="21"/>
              </w:rPr>
              <w:t>190以下</w:t>
            </w:r>
          </w:p>
        </w:tc>
        <w:tc>
          <w:tcPr>
            <w:tcW w:w="788" w:type="pct"/>
            <w:vAlign w:val="center"/>
          </w:tcPr>
          <w:p w14:paraId="08E13A77">
            <w:pPr>
              <w:jc w:val="center"/>
              <w:rPr>
                <w:rFonts w:hint="eastAsia" w:ascii="仿宋" w:hAnsi="仿宋" w:eastAsia="仿宋" w:cs="宋体"/>
                <w:sz w:val="21"/>
                <w:szCs w:val="21"/>
              </w:rPr>
            </w:pPr>
            <w:r>
              <w:rPr>
                <w:rFonts w:hint="eastAsia" w:ascii="仿宋" w:hAnsi="仿宋" w:eastAsia="仿宋" w:cs="宋体"/>
                <w:sz w:val="21"/>
                <w:szCs w:val="21"/>
              </w:rPr>
              <w:t>≥92</w:t>
            </w:r>
          </w:p>
        </w:tc>
        <w:tc>
          <w:tcPr>
            <w:tcW w:w="932" w:type="pct"/>
            <w:vAlign w:val="center"/>
          </w:tcPr>
          <w:p w14:paraId="438CA605">
            <w:pPr>
              <w:jc w:val="center"/>
              <w:rPr>
                <w:rFonts w:hint="eastAsia" w:ascii="仿宋" w:hAnsi="仿宋" w:eastAsia="仿宋" w:cs="宋体"/>
                <w:sz w:val="21"/>
                <w:szCs w:val="21"/>
              </w:rPr>
            </w:pPr>
            <w:r>
              <w:rPr>
                <w:rFonts w:hint="eastAsia" w:ascii="仿宋" w:hAnsi="仿宋" w:eastAsia="仿宋" w:cs="宋体"/>
                <w:sz w:val="21"/>
                <w:szCs w:val="21"/>
              </w:rPr>
              <w:t>2</w:t>
            </w:r>
          </w:p>
        </w:tc>
        <w:tc>
          <w:tcPr>
            <w:tcW w:w="1003" w:type="pct"/>
            <w:vAlign w:val="center"/>
          </w:tcPr>
          <w:p w14:paraId="05C9EFE7">
            <w:pPr>
              <w:jc w:val="center"/>
              <w:rPr>
                <w:rFonts w:hint="eastAsia" w:ascii="仿宋" w:hAnsi="仿宋" w:eastAsia="仿宋" w:cs="宋体"/>
                <w:sz w:val="21"/>
                <w:szCs w:val="21"/>
              </w:rPr>
            </w:pPr>
            <w:r>
              <w:rPr>
                <w:rFonts w:hint="eastAsia" w:ascii="仿宋" w:hAnsi="仿宋" w:eastAsia="仿宋" w:cs="宋体"/>
                <w:sz w:val="21"/>
                <w:szCs w:val="21"/>
              </w:rPr>
              <w:t>15</w:t>
            </w:r>
          </w:p>
        </w:tc>
      </w:tr>
    </w:tbl>
    <w:p w14:paraId="71FBF7C0">
      <w:pPr>
        <w:pStyle w:val="207"/>
        <w:ind w:firstLine="482" w:firstLineChars="200"/>
        <w:rPr>
          <w:rFonts w:hint="eastAsia"/>
        </w:rPr>
      </w:pPr>
      <w:r>
        <w:rPr>
          <w:rFonts w:hint="eastAsia"/>
        </w:rPr>
        <w:t>路基支挡、加固及防护工程设计说明</w:t>
      </w:r>
    </w:p>
    <w:p w14:paraId="6A5C782F">
      <w:pPr>
        <w:pStyle w:val="210"/>
        <w:ind w:firstLine="480"/>
        <w:rPr>
          <w:rFonts w:hint="eastAsia"/>
        </w:rPr>
      </w:pPr>
      <w:r>
        <w:rPr>
          <w:rFonts w:hint="eastAsia"/>
        </w:rPr>
        <w:t>路基防护设计主要以经济适用、方便施工、美化景观为原则，在满足其功能需要的前提下，应充分考虑生态、环保、景观的要求，以《公路路基设计规范》（JTG D30-2015）为依据，并结合边坡稳定、边坡高度、填料种类、坡面排水、本地区工程经验等因素综合确定防护类型，遵循植物防护为主的原则。本次设计对水毁路段设置浆砌石挡墙，共计新建挡墙</w:t>
      </w:r>
      <w:r>
        <w:t>562</w:t>
      </w:r>
      <w:r>
        <w:rPr>
          <w:rFonts w:hint="eastAsia"/>
        </w:rPr>
        <w:t>米。</w:t>
      </w:r>
    </w:p>
    <w:p w14:paraId="787B9197">
      <w:pPr>
        <w:pStyle w:val="208"/>
        <w:ind w:firstLine="482" w:firstLineChars="200"/>
        <w:rPr>
          <w:rFonts w:hint="eastAsia"/>
        </w:rPr>
      </w:pPr>
      <w:r>
        <w:rPr>
          <w:rFonts w:hint="eastAsia"/>
        </w:rPr>
        <w:t>材料指标</w:t>
      </w:r>
    </w:p>
    <w:p w14:paraId="378D4AFD">
      <w:pPr>
        <w:pStyle w:val="210"/>
        <w:ind w:firstLine="480"/>
        <w:rPr>
          <w:rFonts w:hint="eastAsia"/>
        </w:rPr>
      </w:pPr>
      <w:r>
        <w:rPr>
          <w:rFonts w:hint="eastAsia"/>
        </w:rPr>
        <w:t>片石优先选用未风化的石灰岩、花岗岩等硬质岩石，饱和抗压强度≥30MPa，冻融循环后强度损失≤20%；采用不低于MU</w:t>
      </w:r>
      <w:r>
        <w:t>3</w:t>
      </w:r>
      <w:r>
        <w:rPr>
          <w:rFonts w:hint="eastAsia"/>
        </w:rPr>
        <w:t>0级片石，现场回弹强度值≥35MPa，确保能承受墙体自重及侧向土压力。片石厚度≥15cm，最小边长≥20cm，最大边长不宜超过60cm，长厚比≤3；外露面宜修凿成“粗琢面”，平整度≤5mm；严禁使用薄片、尖角石（易产生应力集中），针片状含量≤15%，避免影响砌体整体性。</w:t>
      </w:r>
    </w:p>
    <w:p w14:paraId="42828C93">
      <w:pPr>
        <w:pStyle w:val="210"/>
        <w:ind w:firstLine="480"/>
        <w:rPr>
          <w:rFonts w:hint="eastAsia"/>
        </w:rPr>
      </w:pPr>
      <w:r>
        <w:rPr>
          <w:rFonts w:hint="eastAsia"/>
        </w:rPr>
        <w:t>砂浆设计强度等级为M15，28d标准养护抗压强度≥15M</w:t>
      </w:r>
      <w:r>
        <w:t>p</w:t>
      </w:r>
      <w:r>
        <w:rPr>
          <w:rFonts w:hint="eastAsia"/>
        </w:rPr>
        <w:t>a。</w:t>
      </w:r>
    </w:p>
    <w:p w14:paraId="2557B3E1">
      <w:pPr>
        <w:pStyle w:val="208"/>
        <w:ind w:firstLine="482" w:firstLineChars="200"/>
        <w:rPr>
          <w:rFonts w:hint="eastAsia"/>
        </w:rPr>
      </w:pPr>
      <w:r>
        <w:rPr>
          <w:rFonts w:hint="eastAsia"/>
        </w:rPr>
        <w:t>施工技术要求</w:t>
      </w:r>
    </w:p>
    <w:p w14:paraId="309C755D">
      <w:pPr>
        <w:pStyle w:val="210"/>
        <w:ind w:firstLine="480"/>
        <w:rPr>
          <w:rFonts w:hint="eastAsia"/>
        </w:rPr>
      </w:pPr>
      <w:r>
        <w:rPr>
          <w:rFonts w:hint="eastAsia"/>
        </w:rPr>
        <w:t>基坑开挖宜分段跳槽进行，分段位置结合沉降缝的设置位置确定。</w:t>
      </w:r>
    </w:p>
    <w:p w14:paraId="7D4F3438">
      <w:pPr>
        <w:pStyle w:val="210"/>
        <w:ind w:firstLine="480"/>
        <w:rPr>
          <w:rFonts w:hint="eastAsia"/>
        </w:rPr>
      </w:pPr>
      <w:r>
        <w:rPr>
          <w:rFonts w:hint="eastAsia"/>
        </w:rPr>
        <w:t>墙背回填每层压实厚度不大于15cm，同时也不得小于10cm。施工过程中宜扩大施工场地，以便发挥大型填方压实机械的使用，给予充分压实。受场地限制时，可采用横向碾压法，以便使压路机尽量靠近台背进行碾压。对于大型压路机不能靠近台背时，须采用以小型压路机为主，蛙式打夯机、手扶振动压路机、冲击夯为辅进行碾压，确保不留死角。墙后反滤层可于墙背填料回填前，在挡墙与反滤层中间用厚度为1cm的竹胶板进行隔离，反滤层应分层填筑，其填筑高度与挡墙的砌筑高度应同步。因既有滑出土含水率较大，不能作为填土使用，应弃运。</w:t>
      </w:r>
    </w:p>
    <w:p w14:paraId="62933477">
      <w:pPr>
        <w:pStyle w:val="210"/>
        <w:ind w:firstLine="480"/>
        <w:rPr>
          <w:rFonts w:hint="eastAsia"/>
        </w:rPr>
      </w:pPr>
      <w:r>
        <w:rPr>
          <w:rFonts w:hint="eastAsia"/>
        </w:rPr>
        <w:t>墙后填土应满足内摩擦角不小于35°，墙后填土重度不小于17.5kN/m</w:t>
      </w:r>
      <w:r>
        <w:rPr>
          <w:rFonts w:hint="eastAsia"/>
          <w:vertAlign w:val="superscript"/>
        </w:rPr>
        <w:t>3</w:t>
      </w:r>
      <w:r>
        <w:rPr>
          <w:rFonts w:hint="eastAsia"/>
        </w:rPr>
        <w:t>，挡土墙墙后填料应在浆砌圬工强度达80%以上,方可填筑夯实。</w:t>
      </w:r>
    </w:p>
    <w:p w14:paraId="44509744">
      <w:pPr>
        <w:pStyle w:val="207"/>
        <w:ind w:firstLine="482" w:firstLineChars="200"/>
        <w:rPr>
          <w:rFonts w:hint="eastAsia"/>
        </w:rPr>
      </w:pPr>
      <w:r>
        <w:rPr>
          <w:rFonts w:hint="eastAsia"/>
        </w:rPr>
        <w:t>路基、路面排水系统及其防护设计说明</w:t>
      </w:r>
    </w:p>
    <w:p w14:paraId="62C7E3F8">
      <w:pPr>
        <w:pStyle w:val="210"/>
        <w:ind w:firstLine="480"/>
        <w:rPr>
          <w:rFonts w:hint="eastAsia"/>
        </w:rPr>
      </w:pPr>
      <w:r>
        <w:rPr>
          <w:rFonts w:hint="eastAsia"/>
        </w:rPr>
        <w:t>旧路路面原有排水为散排方式，本次设计将继续采用散排方式。对于原有边沟利用段落，应对边沟进行疏通、整修、加高，以保证边沟尺寸，无拥堵。</w:t>
      </w:r>
    </w:p>
    <w:p w14:paraId="298179E3">
      <w:pPr>
        <w:pStyle w:val="206"/>
        <w:rPr>
          <w:rFonts w:hint="eastAsia"/>
        </w:rPr>
      </w:pPr>
      <w:r>
        <w:rPr>
          <w:rFonts w:hint="eastAsia"/>
        </w:rPr>
        <w:t>路面设计</w:t>
      </w:r>
    </w:p>
    <w:p w14:paraId="672DB64E">
      <w:pPr>
        <w:pStyle w:val="207"/>
        <w:ind w:firstLine="482" w:firstLineChars="200"/>
        <w:rPr>
          <w:rFonts w:hint="eastAsia"/>
        </w:rPr>
      </w:pPr>
      <w:r>
        <w:rPr>
          <w:rFonts w:hint="eastAsia"/>
        </w:rPr>
        <w:t>设计原则</w:t>
      </w:r>
    </w:p>
    <w:p w14:paraId="5FB7BB0E">
      <w:pPr>
        <w:pStyle w:val="77"/>
        <w:rPr>
          <w:rFonts w:hint="eastAsia" w:ascii="仿宋" w:hAnsi="仿宋" w:eastAsia="仿宋"/>
        </w:rPr>
      </w:pPr>
      <w:r>
        <w:rPr>
          <w:rFonts w:hint="eastAsia" w:ascii="仿宋" w:hAnsi="仿宋" w:eastAsia="仿宋"/>
        </w:rPr>
        <w:t>在满足交通量、道路等级对路面的使用要求的前提下，结合沿线气候、水文、地质及筑路材料的分布情况，本着因地制宜、合理选材、方便施工、利于养护及积极采用新技术、新工艺的原则，进行路面综合设计。</w:t>
      </w:r>
    </w:p>
    <w:p w14:paraId="268FF76E">
      <w:pPr>
        <w:pStyle w:val="77"/>
        <w:rPr>
          <w:rFonts w:hint="eastAsia" w:ascii="仿宋" w:hAnsi="仿宋" w:eastAsia="仿宋"/>
        </w:rPr>
      </w:pPr>
      <w:r>
        <w:rPr>
          <w:rFonts w:hint="eastAsia" w:ascii="仿宋" w:hAnsi="仿宋" w:eastAsia="仿宋"/>
        </w:rPr>
        <w:t>本项目为水毁重建项目，因此本次设计采用沥青混凝土面层，与既有旧路一致。</w:t>
      </w:r>
    </w:p>
    <w:p w14:paraId="7C140DA6">
      <w:pPr>
        <w:pStyle w:val="207"/>
        <w:ind w:firstLine="482" w:firstLineChars="200"/>
        <w:rPr>
          <w:rFonts w:hint="eastAsia"/>
        </w:rPr>
      </w:pPr>
      <w:r>
        <w:rPr>
          <w:rFonts w:hint="eastAsia"/>
        </w:rPr>
        <w:t>路面设计情况</w:t>
      </w:r>
    </w:p>
    <w:p w14:paraId="285C9F94">
      <w:pPr>
        <w:pStyle w:val="77"/>
        <w:rPr>
          <w:rFonts w:hint="eastAsia" w:ascii="仿宋" w:hAnsi="仿宋" w:eastAsia="仿宋"/>
        </w:rPr>
      </w:pPr>
      <w:r>
        <w:rPr>
          <w:rFonts w:hint="eastAsia" w:ascii="仿宋" w:hAnsi="仿宋" w:eastAsia="仿宋"/>
        </w:rPr>
        <w:t>自然区划：II1。</w:t>
      </w:r>
    </w:p>
    <w:p w14:paraId="0462B76D">
      <w:pPr>
        <w:pStyle w:val="77"/>
        <w:rPr>
          <w:rFonts w:hint="eastAsia" w:ascii="仿宋" w:hAnsi="仿宋" w:eastAsia="仿宋"/>
        </w:rPr>
      </w:pPr>
      <w:r>
        <w:rPr>
          <w:rFonts w:hint="eastAsia" w:ascii="仿宋" w:hAnsi="仿宋" w:eastAsia="仿宋"/>
        </w:rPr>
        <w:t>沥青路面设计使用年限：使用期为5年。</w:t>
      </w:r>
    </w:p>
    <w:p w14:paraId="1D1F9B03">
      <w:pPr>
        <w:pStyle w:val="77"/>
        <w:rPr>
          <w:rFonts w:hint="eastAsia" w:ascii="仿宋" w:hAnsi="仿宋" w:eastAsia="仿宋"/>
        </w:rPr>
      </w:pPr>
      <w:r>
        <w:rPr>
          <w:rFonts w:hint="eastAsia" w:ascii="仿宋" w:hAnsi="仿宋" w:eastAsia="仿宋"/>
        </w:rPr>
        <w:t>本次设计为养护设计，修建挡墙后会不可避免产生少量积水等因素，会产生不均匀沉降，沥青路面设计使用年限调整为5年。</w:t>
      </w:r>
    </w:p>
    <w:p w14:paraId="5A238F16">
      <w:pPr>
        <w:pStyle w:val="77"/>
        <w:rPr>
          <w:rFonts w:hint="eastAsia" w:ascii="仿宋" w:hAnsi="仿宋" w:eastAsia="仿宋"/>
        </w:rPr>
      </w:pPr>
      <w:r>
        <w:rPr>
          <w:rFonts w:hint="eastAsia" w:ascii="仿宋" w:hAnsi="仿宋" w:eastAsia="仿宋"/>
        </w:rPr>
        <w:t>在实际调查各类相关车型的基础上，参照关交通量资料，对使用期内的交通量进行测算，属于轻等级交通。</w:t>
      </w:r>
    </w:p>
    <w:p w14:paraId="21352B91">
      <w:pPr>
        <w:pStyle w:val="207"/>
        <w:ind w:firstLine="482" w:firstLineChars="200"/>
        <w:rPr>
          <w:rFonts w:hint="eastAsia"/>
        </w:rPr>
      </w:pPr>
      <w:r>
        <w:rPr>
          <w:rFonts w:hint="eastAsia"/>
        </w:rPr>
        <w:t>路面结构设计</w:t>
      </w:r>
    </w:p>
    <w:p w14:paraId="0FD514B9">
      <w:pPr>
        <w:pStyle w:val="77"/>
        <w:rPr>
          <w:rFonts w:hint="eastAsia" w:ascii="仿宋" w:hAnsi="仿宋" w:eastAsia="仿宋"/>
        </w:rPr>
      </w:pPr>
      <w:r>
        <w:rPr>
          <w:rFonts w:hint="eastAsia" w:ascii="仿宋" w:hAnsi="仿宋" w:eastAsia="仿宋"/>
        </w:rPr>
        <w:t>罩面段：铺筑5cm厚AC-16中粒式沥青混凝土面层+0.5cm厚AC-16中粒式沥青混凝土调平层。</w:t>
      </w:r>
    </w:p>
    <w:p w14:paraId="7C88B5C6">
      <w:pPr>
        <w:pStyle w:val="77"/>
        <w:rPr>
          <w:rFonts w:hint="eastAsia" w:ascii="仿宋" w:hAnsi="仿宋" w:eastAsia="仿宋"/>
        </w:rPr>
      </w:pPr>
      <w:r>
        <w:rPr>
          <w:rFonts w:hint="eastAsia" w:ascii="仿宋" w:hAnsi="仿宋" w:eastAsia="仿宋"/>
        </w:rPr>
        <w:t>新建段：铺筑5cm厚AC-16中粒式沥青混凝土面层+20cm水泥混凝土基层+</w:t>
      </w:r>
      <w:r>
        <w:rPr>
          <w:rFonts w:ascii="仿宋" w:hAnsi="仿宋" w:eastAsia="仿宋"/>
        </w:rPr>
        <w:t>20cm</w:t>
      </w:r>
      <w:r>
        <w:rPr>
          <w:rFonts w:hint="eastAsia" w:ascii="仿宋" w:hAnsi="仿宋" w:eastAsia="仿宋"/>
        </w:rPr>
        <w:t>山皮石垫层</w:t>
      </w:r>
    </w:p>
    <w:p w14:paraId="4FC83BA4">
      <w:pPr>
        <w:pStyle w:val="77"/>
        <w:rPr>
          <w:rFonts w:hint="eastAsia" w:ascii="仿宋" w:hAnsi="仿宋" w:eastAsia="仿宋"/>
        </w:rPr>
      </w:pPr>
      <w:r>
        <w:rPr>
          <w:rFonts w:hint="eastAsia" w:ascii="仿宋" w:hAnsi="仿宋" w:eastAsia="仿宋"/>
        </w:rPr>
        <w:t>新建段为半幅维修，接缝处易产生反射裂缝，为了减少反射裂缝，接缝处铺设土工格栅，接缝两侧各搭接50cm。</w:t>
      </w:r>
    </w:p>
    <w:p w14:paraId="23B27274">
      <w:pPr>
        <w:pStyle w:val="207"/>
        <w:ind w:firstLine="482" w:firstLineChars="200"/>
        <w:rPr>
          <w:rFonts w:hint="eastAsia"/>
        </w:rPr>
      </w:pPr>
      <w:r>
        <w:rPr>
          <w:rFonts w:hint="eastAsia"/>
        </w:rPr>
        <w:t>沥青混凝土面层材料组成设计</w:t>
      </w:r>
    </w:p>
    <w:p w14:paraId="0FDD99FF">
      <w:pPr>
        <w:pStyle w:val="208"/>
        <w:ind w:firstLine="482" w:firstLineChars="200"/>
        <w:rPr>
          <w:rFonts w:hint="eastAsia"/>
        </w:rPr>
      </w:pPr>
      <w:r>
        <w:rPr>
          <w:rFonts w:hint="eastAsia"/>
        </w:rPr>
        <w:t>沥青混合料</w:t>
      </w:r>
    </w:p>
    <w:p w14:paraId="4369748C">
      <w:pPr>
        <w:pStyle w:val="77"/>
        <w:rPr>
          <w:rFonts w:hint="eastAsia" w:ascii="仿宋" w:hAnsi="仿宋" w:eastAsia="仿宋"/>
        </w:rPr>
      </w:pPr>
      <w:r>
        <w:rPr>
          <w:rFonts w:hint="eastAsia" w:ascii="仿宋" w:hAnsi="仿宋" w:eastAsia="仿宋"/>
        </w:rPr>
        <w:t>路面设计本着因地制宜、合理选材、降低造价、便于施工及养护的原则及根据路面的使用要求，结合路线周围自然条件、沿线筑路材料情况和实践经验，进行路面设计。</w:t>
      </w:r>
    </w:p>
    <w:tbl>
      <w:tblPr>
        <w:tblStyle w:val="27"/>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572"/>
        <w:gridCol w:w="872"/>
        <w:gridCol w:w="873"/>
        <w:gridCol w:w="875"/>
        <w:gridCol w:w="873"/>
        <w:gridCol w:w="973"/>
        <w:gridCol w:w="774"/>
        <w:gridCol w:w="768"/>
        <w:gridCol w:w="816"/>
        <w:gridCol w:w="725"/>
        <w:gridCol w:w="797"/>
      </w:tblGrid>
      <w:tr w14:paraId="21C3150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508" w:type="pct"/>
            <w:vMerge w:val="restart"/>
            <w:shd w:val="clear" w:color="auto" w:fill="D9E2F3" w:themeFill="accent1" w:themeFillTint="33"/>
            <w:vAlign w:val="center"/>
          </w:tcPr>
          <w:p w14:paraId="3FA8FF71">
            <w:pPr>
              <w:widowControl/>
              <w:jc w:val="center"/>
              <w:rPr>
                <w:rFonts w:hint="eastAsia" w:ascii="仿宋" w:hAnsi="仿宋" w:eastAsia="仿宋" w:cs="宋体"/>
                <w:kern w:val="0"/>
                <w:sz w:val="18"/>
                <w:szCs w:val="18"/>
              </w:rPr>
            </w:pPr>
            <w:r>
              <w:rPr>
                <w:rFonts w:hint="eastAsia" w:ascii="仿宋" w:hAnsi="仿宋" w:eastAsia="仿宋" w:cs="宋体"/>
                <w:kern w:val="0"/>
                <w:sz w:val="18"/>
                <w:szCs w:val="18"/>
              </w:rPr>
              <w:t>沥青</w:t>
            </w:r>
          </w:p>
          <w:p w14:paraId="515C710F">
            <w:pPr>
              <w:widowControl/>
              <w:jc w:val="center"/>
              <w:rPr>
                <w:rFonts w:hint="eastAsia" w:ascii="仿宋" w:hAnsi="仿宋" w:eastAsia="仿宋" w:cs="宋体"/>
                <w:kern w:val="0"/>
                <w:sz w:val="18"/>
                <w:szCs w:val="18"/>
              </w:rPr>
            </w:pPr>
            <w:r>
              <w:rPr>
                <w:rFonts w:hint="eastAsia" w:ascii="仿宋" w:hAnsi="仿宋" w:eastAsia="仿宋" w:cs="宋体"/>
                <w:kern w:val="0"/>
                <w:sz w:val="18"/>
                <w:szCs w:val="18"/>
              </w:rPr>
              <w:t>混合料</w:t>
            </w:r>
          </w:p>
          <w:p w14:paraId="626A3293">
            <w:pPr>
              <w:widowControl/>
              <w:jc w:val="center"/>
              <w:rPr>
                <w:rFonts w:hint="eastAsia" w:ascii="仿宋" w:hAnsi="仿宋" w:eastAsia="仿宋" w:cs="宋体"/>
                <w:kern w:val="0"/>
                <w:sz w:val="18"/>
                <w:szCs w:val="18"/>
              </w:rPr>
            </w:pPr>
            <w:r>
              <w:rPr>
                <w:rFonts w:hint="eastAsia" w:ascii="仿宋" w:hAnsi="仿宋" w:eastAsia="仿宋" w:cs="宋体"/>
                <w:kern w:val="0"/>
                <w:sz w:val="18"/>
                <w:szCs w:val="18"/>
              </w:rPr>
              <w:t>级配类型</w:t>
            </w:r>
          </w:p>
        </w:tc>
        <w:tc>
          <w:tcPr>
            <w:tcW w:w="4492" w:type="pct"/>
            <w:gridSpan w:val="11"/>
            <w:shd w:val="clear" w:color="auto" w:fill="D9E2F3" w:themeFill="accent1" w:themeFillTint="33"/>
            <w:vAlign w:val="center"/>
          </w:tcPr>
          <w:p w14:paraId="1F232159">
            <w:pPr>
              <w:widowControl/>
              <w:jc w:val="center"/>
              <w:rPr>
                <w:rFonts w:hint="eastAsia" w:ascii="仿宋" w:hAnsi="仿宋" w:eastAsia="仿宋" w:cs="宋体"/>
                <w:kern w:val="0"/>
                <w:sz w:val="18"/>
                <w:szCs w:val="18"/>
              </w:rPr>
            </w:pPr>
            <w:r>
              <w:rPr>
                <w:rFonts w:hint="eastAsia" w:ascii="仿宋" w:hAnsi="仿宋" w:eastAsia="仿宋" w:cs="宋体"/>
                <w:kern w:val="0"/>
                <w:sz w:val="18"/>
                <w:szCs w:val="18"/>
              </w:rPr>
              <w:t>通过下列方孔筛(mm)重量百分率（％）</w:t>
            </w:r>
          </w:p>
        </w:tc>
      </w:tr>
      <w:tr w14:paraId="21A63FA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508" w:type="pct"/>
            <w:vMerge w:val="continue"/>
            <w:shd w:val="clear" w:color="auto" w:fill="D9E2F3" w:themeFill="accent1" w:themeFillTint="33"/>
            <w:vAlign w:val="center"/>
          </w:tcPr>
          <w:p w14:paraId="540B2C4C">
            <w:pPr>
              <w:widowControl/>
              <w:jc w:val="left"/>
              <w:rPr>
                <w:rFonts w:hint="eastAsia" w:ascii="仿宋" w:hAnsi="仿宋" w:eastAsia="仿宋" w:cs="宋体"/>
                <w:kern w:val="0"/>
                <w:sz w:val="18"/>
                <w:szCs w:val="18"/>
              </w:rPr>
            </w:pPr>
          </w:p>
        </w:tc>
        <w:tc>
          <w:tcPr>
            <w:tcW w:w="288" w:type="pct"/>
            <w:shd w:val="clear" w:color="auto" w:fill="D9E2F3" w:themeFill="accent1" w:themeFillTint="33"/>
            <w:vAlign w:val="center"/>
          </w:tcPr>
          <w:p w14:paraId="4BAF4FA0">
            <w:pPr>
              <w:widowControl/>
              <w:jc w:val="center"/>
              <w:rPr>
                <w:rFonts w:hint="eastAsia" w:ascii="仿宋" w:hAnsi="仿宋" w:eastAsia="仿宋" w:cs="宋体"/>
                <w:kern w:val="0"/>
                <w:sz w:val="18"/>
                <w:szCs w:val="18"/>
              </w:rPr>
            </w:pPr>
            <w:r>
              <w:rPr>
                <w:rFonts w:hint="eastAsia" w:ascii="仿宋" w:hAnsi="仿宋" w:eastAsia="仿宋" w:cs="宋体"/>
                <w:kern w:val="0"/>
                <w:sz w:val="18"/>
                <w:szCs w:val="18"/>
              </w:rPr>
              <w:t>19</w:t>
            </w:r>
          </w:p>
        </w:tc>
        <w:tc>
          <w:tcPr>
            <w:tcW w:w="439" w:type="pct"/>
            <w:shd w:val="clear" w:color="auto" w:fill="D9E2F3" w:themeFill="accent1" w:themeFillTint="33"/>
            <w:vAlign w:val="center"/>
          </w:tcPr>
          <w:p w14:paraId="1F8E9C2C">
            <w:pPr>
              <w:widowControl/>
              <w:jc w:val="center"/>
              <w:rPr>
                <w:rFonts w:hint="eastAsia" w:ascii="仿宋" w:hAnsi="仿宋" w:eastAsia="仿宋" w:cs="宋体"/>
                <w:kern w:val="0"/>
                <w:sz w:val="18"/>
                <w:szCs w:val="18"/>
              </w:rPr>
            </w:pPr>
            <w:r>
              <w:rPr>
                <w:rFonts w:hint="eastAsia" w:ascii="仿宋" w:hAnsi="仿宋" w:eastAsia="仿宋" w:cs="宋体"/>
                <w:kern w:val="0"/>
                <w:sz w:val="18"/>
                <w:szCs w:val="18"/>
              </w:rPr>
              <w:t>16</w:t>
            </w:r>
          </w:p>
        </w:tc>
        <w:tc>
          <w:tcPr>
            <w:tcW w:w="440" w:type="pct"/>
            <w:shd w:val="clear" w:color="auto" w:fill="D9E2F3" w:themeFill="accent1" w:themeFillTint="33"/>
            <w:vAlign w:val="center"/>
          </w:tcPr>
          <w:p w14:paraId="3D09FECE">
            <w:pPr>
              <w:widowControl/>
              <w:jc w:val="center"/>
              <w:rPr>
                <w:rFonts w:hint="eastAsia" w:ascii="仿宋" w:hAnsi="仿宋" w:eastAsia="仿宋" w:cs="宋体"/>
                <w:kern w:val="0"/>
                <w:sz w:val="18"/>
                <w:szCs w:val="18"/>
              </w:rPr>
            </w:pPr>
            <w:r>
              <w:rPr>
                <w:rFonts w:hint="eastAsia" w:ascii="仿宋" w:hAnsi="仿宋" w:eastAsia="仿宋" w:cs="宋体"/>
                <w:kern w:val="0"/>
                <w:sz w:val="18"/>
                <w:szCs w:val="18"/>
              </w:rPr>
              <w:t>13.2</w:t>
            </w:r>
          </w:p>
        </w:tc>
        <w:tc>
          <w:tcPr>
            <w:tcW w:w="441" w:type="pct"/>
            <w:shd w:val="clear" w:color="auto" w:fill="D9E2F3" w:themeFill="accent1" w:themeFillTint="33"/>
            <w:vAlign w:val="center"/>
          </w:tcPr>
          <w:p w14:paraId="4380EEDD">
            <w:pPr>
              <w:widowControl/>
              <w:jc w:val="center"/>
              <w:rPr>
                <w:rFonts w:hint="eastAsia" w:ascii="仿宋" w:hAnsi="仿宋" w:eastAsia="仿宋" w:cs="宋体"/>
                <w:kern w:val="0"/>
                <w:sz w:val="18"/>
                <w:szCs w:val="18"/>
              </w:rPr>
            </w:pPr>
            <w:r>
              <w:rPr>
                <w:rFonts w:hint="eastAsia" w:ascii="仿宋" w:hAnsi="仿宋" w:eastAsia="仿宋" w:cs="宋体"/>
                <w:kern w:val="0"/>
                <w:sz w:val="18"/>
                <w:szCs w:val="18"/>
              </w:rPr>
              <w:t>9.5</w:t>
            </w:r>
          </w:p>
        </w:tc>
        <w:tc>
          <w:tcPr>
            <w:tcW w:w="440" w:type="pct"/>
            <w:shd w:val="clear" w:color="auto" w:fill="D9E2F3" w:themeFill="accent1" w:themeFillTint="33"/>
            <w:vAlign w:val="center"/>
          </w:tcPr>
          <w:p w14:paraId="44587FCF">
            <w:pPr>
              <w:widowControl/>
              <w:jc w:val="center"/>
              <w:rPr>
                <w:rFonts w:hint="eastAsia" w:ascii="仿宋" w:hAnsi="仿宋" w:eastAsia="仿宋" w:cs="宋体"/>
                <w:kern w:val="0"/>
                <w:sz w:val="18"/>
                <w:szCs w:val="18"/>
              </w:rPr>
            </w:pPr>
            <w:r>
              <w:rPr>
                <w:rFonts w:hint="eastAsia" w:ascii="仿宋" w:hAnsi="仿宋" w:eastAsia="仿宋" w:cs="宋体"/>
                <w:kern w:val="0"/>
                <w:sz w:val="18"/>
                <w:szCs w:val="18"/>
              </w:rPr>
              <w:t>4.75</w:t>
            </w:r>
          </w:p>
        </w:tc>
        <w:tc>
          <w:tcPr>
            <w:tcW w:w="490" w:type="pct"/>
            <w:shd w:val="clear" w:color="auto" w:fill="D9E2F3" w:themeFill="accent1" w:themeFillTint="33"/>
            <w:vAlign w:val="center"/>
          </w:tcPr>
          <w:p w14:paraId="122BF4C7">
            <w:pPr>
              <w:widowControl/>
              <w:jc w:val="center"/>
              <w:rPr>
                <w:rFonts w:hint="eastAsia" w:ascii="仿宋" w:hAnsi="仿宋" w:eastAsia="仿宋" w:cs="宋体"/>
                <w:kern w:val="0"/>
                <w:sz w:val="18"/>
                <w:szCs w:val="18"/>
              </w:rPr>
            </w:pPr>
            <w:r>
              <w:rPr>
                <w:rFonts w:hint="eastAsia" w:ascii="仿宋" w:hAnsi="仿宋" w:eastAsia="仿宋" w:cs="宋体"/>
                <w:kern w:val="0"/>
                <w:sz w:val="18"/>
                <w:szCs w:val="18"/>
              </w:rPr>
              <w:t>2.36</w:t>
            </w:r>
          </w:p>
        </w:tc>
        <w:tc>
          <w:tcPr>
            <w:tcW w:w="390" w:type="pct"/>
            <w:shd w:val="clear" w:color="auto" w:fill="D9E2F3" w:themeFill="accent1" w:themeFillTint="33"/>
            <w:vAlign w:val="center"/>
          </w:tcPr>
          <w:p w14:paraId="3B5A4232">
            <w:pPr>
              <w:widowControl/>
              <w:jc w:val="center"/>
              <w:rPr>
                <w:rFonts w:hint="eastAsia" w:ascii="仿宋" w:hAnsi="仿宋" w:eastAsia="仿宋" w:cs="宋体"/>
                <w:kern w:val="0"/>
                <w:sz w:val="18"/>
                <w:szCs w:val="18"/>
              </w:rPr>
            </w:pPr>
            <w:r>
              <w:rPr>
                <w:rFonts w:hint="eastAsia" w:ascii="仿宋" w:hAnsi="仿宋" w:eastAsia="仿宋" w:cs="宋体"/>
                <w:kern w:val="0"/>
                <w:sz w:val="18"/>
                <w:szCs w:val="18"/>
              </w:rPr>
              <w:t>1.18</w:t>
            </w:r>
          </w:p>
        </w:tc>
        <w:tc>
          <w:tcPr>
            <w:tcW w:w="387" w:type="pct"/>
            <w:shd w:val="clear" w:color="auto" w:fill="D9E2F3" w:themeFill="accent1" w:themeFillTint="33"/>
            <w:vAlign w:val="center"/>
          </w:tcPr>
          <w:p w14:paraId="10AA5215">
            <w:pPr>
              <w:widowControl/>
              <w:jc w:val="center"/>
              <w:rPr>
                <w:rFonts w:hint="eastAsia" w:ascii="仿宋" w:hAnsi="仿宋" w:eastAsia="仿宋" w:cs="宋体"/>
                <w:kern w:val="0"/>
                <w:sz w:val="18"/>
                <w:szCs w:val="18"/>
              </w:rPr>
            </w:pPr>
            <w:r>
              <w:rPr>
                <w:rFonts w:hint="eastAsia" w:ascii="仿宋" w:hAnsi="仿宋" w:eastAsia="仿宋" w:cs="宋体"/>
                <w:kern w:val="0"/>
                <w:sz w:val="18"/>
                <w:szCs w:val="18"/>
              </w:rPr>
              <w:t>0.6</w:t>
            </w:r>
          </w:p>
        </w:tc>
        <w:tc>
          <w:tcPr>
            <w:tcW w:w="411" w:type="pct"/>
            <w:shd w:val="clear" w:color="auto" w:fill="D9E2F3" w:themeFill="accent1" w:themeFillTint="33"/>
            <w:vAlign w:val="center"/>
          </w:tcPr>
          <w:p w14:paraId="711BA1E7">
            <w:pPr>
              <w:widowControl/>
              <w:jc w:val="center"/>
              <w:rPr>
                <w:rFonts w:hint="eastAsia" w:ascii="仿宋" w:hAnsi="仿宋" w:eastAsia="仿宋" w:cs="宋体"/>
                <w:kern w:val="0"/>
                <w:sz w:val="18"/>
                <w:szCs w:val="18"/>
              </w:rPr>
            </w:pPr>
            <w:r>
              <w:rPr>
                <w:rFonts w:hint="eastAsia" w:ascii="仿宋" w:hAnsi="仿宋" w:eastAsia="仿宋" w:cs="宋体"/>
                <w:kern w:val="0"/>
                <w:sz w:val="18"/>
                <w:szCs w:val="18"/>
              </w:rPr>
              <w:t>0.3</w:t>
            </w:r>
          </w:p>
        </w:tc>
        <w:tc>
          <w:tcPr>
            <w:tcW w:w="365" w:type="pct"/>
            <w:shd w:val="clear" w:color="auto" w:fill="D9E2F3" w:themeFill="accent1" w:themeFillTint="33"/>
            <w:vAlign w:val="center"/>
          </w:tcPr>
          <w:p w14:paraId="4C1F168D">
            <w:pPr>
              <w:widowControl/>
              <w:jc w:val="center"/>
              <w:rPr>
                <w:rFonts w:hint="eastAsia" w:ascii="仿宋" w:hAnsi="仿宋" w:eastAsia="仿宋" w:cs="宋体"/>
                <w:kern w:val="0"/>
                <w:sz w:val="18"/>
                <w:szCs w:val="18"/>
              </w:rPr>
            </w:pPr>
            <w:r>
              <w:rPr>
                <w:rFonts w:hint="eastAsia" w:ascii="仿宋" w:hAnsi="仿宋" w:eastAsia="仿宋" w:cs="宋体"/>
                <w:kern w:val="0"/>
                <w:sz w:val="18"/>
                <w:szCs w:val="18"/>
              </w:rPr>
              <w:t>0.15</w:t>
            </w:r>
          </w:p>
        </w:tc>
        <w:tc>
          <w:tcPr>
            <w:tcW w:w="401" w:type="pct"/>
            <w:shd w:val="clear" w:color="auto" w:fill="D9E2F3" w:themeFill="accent1" w:themeFillTint="33"/>
            <w:vAlign w:val="center"/>
          </w:tcPr>
          <w:p w14:paraId="5FB0EDF8">
            <w:pPr>
              <w:widowControl/>
              <w:jc w:val="center"/>
              <w:rPr>
                <w:rFonts w:hint="eastAsia" w:ascii="仿宋" w:hAnsi="仿宋" w:eastAsia="仿宋" w:cs="宋体"/>
                <w:kern w:val="0"/>
                <w:sz w:val="18"/>
                <w:szCs w:val="18"/>
              </w:rPr>
            </w:pPr>
            <w:r>
              <w:rPr>
                <w:rFonts w:hint="eastAsia" w:ascii="仿宋" w:hAnsi="仿宋" w:eastAsia="仿宋" w:cs="宋体"/>
                <w:kern w:val="0"/>
                <w:sz w:val="18"/>
                <w:szCs w:val="18"/>
              </w:rPr>
              <w:t>0.075</w:t>
            </w:r>
          </w:p>
        </w:tc>
      </w:tr>
      <w:tr w14:paraId="0C24180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8" w:type="pct"/>
            <w:vAlign w:val="center"/>
          </w:tcPr>
          <w:p w14:paraId="01E3B29F">
            <w:pPr>
              <w:widowControl/>
              <w:jc w:val="center"/>
              <w:rPr>
                <w:rFonts w:hint="eastAsia" w:ascii="仿宋" w:hAnsi="仿宋" w:eastAsia="仿宋" w:cs="宋体"/>
                <w:kern w:val="0"/>
                <w:sz w:val="18"/>
                <w:szCs w:val="18"/>
              </w:rPr>
            </w:pPr>
            <w:r>
              <w:rPr>
                <w:rFonts w:hint="eastAsia" w:ascii="仿宋" w:hAnsi="仿宋" w:eastAsia="仿宋" w:cs="宋体"/>
                <w:kern w:val="0"/>
                <w:sz w:val="18"/>
                <w:szCs w:val="18"/>
              </w:rPr>
              <w:t>AC-16</w:t>
            </w:r>
          </w:p>
        </w:tc>
        <w:tc>
          <w:tcPr>
            <w:tcW w:w="288" w:type="pct"/>
            <w:vAlign w:val="center"/>
          </w:tcPr>
          <w:p w14:paraId="17483AE8">
            <w:pPr>
              <w:widowControl/>
              <w:jc w:val="center"/>
              <w:rPr>
                <w:rFonts w:hint="eastAsia" w:ascii="仿宋" w:hAnsi="仿宋" w:eastAsia="仿宋" w:cs="宋体"/>
                <w:kern w:val="0"/>
                <w:sz w:val="18"/>
                <w:szCs w:val="18"/>
              </w:rPr>
            </w:pPr>
            <w:r>
              <w:rPr>
                <w:rFonts w:hint="eastAsia" w:ascii="仿宋" w:hAnsi="仿宋" w:eastAsia="仿宋" w:cs="宋体"/>
                <w:kern w:val="0"/>
                <w:sz w:val="18"/>
                <w:szCs w:val="18"/>
              </w:rPr>
              <w:t>100</w:t>
            </w:r>
          </w:p>
        </w:tc>
        <w:tc>
          <w:tcPr>
            <w:tcW w:w="439" w:type="pct"/>
            <w:vAlign w:val="center"/>
          </w:tcPr>
          <w:p w14:paraId="49089227">
            <w:pPr>
              <w:widowControl/>
              <w:jc w:val="center"/>
              <w:rPr>
                <w:rFonts w:hint="eastAsia" w:ascii="仿宋" w:hAnsi="仿宋" w:eastAsia="仿宋" w:cs="宋体"/>
                <w:kern w:val="0"/>
                <w:sz w:val="18"/>
                <w:szCs w:val="18"/>
              </w:rPr>
            </w:pPr>
            <w:r>
              <w:rPr>
                <w:rFonts w:ascii="仿宋" w:hAnsi="仿宋" w:eastAsia="仿宋" w:cs="宋体"/>
                <w:sz w:val="18"/>
                <w:szCs w:val="18"/>
              </w:rPr>
              <w:t>90</w:t>
            </w:r>
            <w:r>
              <w:rPr>
                <w:rFonts w:hint="eastAsia" w:ascii="仿宋" w:hAnsi="仿宋" w:eastAsia="仿宋" w:cs="宋体"/>
                <w:sz w:val="18"/>
                <w:szCs w:val="18"/>
              </w:rPr>
              <w:t>～</w:t>
            </w:r>
            <w:r>
              <w:rPr>
                <w:rFonts w:ascii="仿宋" w:hAnsi="仿宋" w:eastAsia="仿宋" w:cs="宋体"/>
                <w:sz w:val="18"/>
                <w:szCs w:val="18"/>
              </w:rPr>
              <w:t>100</w:t>
            </w:r>
          </w:p>
        </w:tc>
        <w:tc>
          <w:tcPr>
            <w:tcW w:w="440" w:type="pct"/>
            <w:vAlign w:val="center"/>
          </w:tcPr>
          <w:p w14:paraId="68DBB1AA">
            <w:pPr>
              <w:widowControl/>
              <w:jc w:val="center"/>
              <w:rPr>
                <w:rFonts w:hint="eastAsia" w:ascii="仿宋" w:hAnsi="仿宋" w:eastAsia="仿宋" w:cs="宋体"/>
                <w:kern w:val="0"/>
                <w:sz w:val="18"/>
                <w:szCs w:val="18"/>
              </w:rPr>
            </w:pPr>
            <w:r>
              <w:rPr>
                <w:rFonts w:ascii="仿宋" w:hAnsi="仿宋" w:eastAsia="仿宋" w:cs="宋体"/>
                <w:sz w:val="18"/>
                <w:szCs w:val="18"/>
              </w:rPr>
              <w:t>68</w:t>
            </w:r>
            <w:r>
              <w:rPr>
                <w:rFonts w:hint="eastAsia" w:ascii="仿宋" w:hAnsi="仿宋" w:eastAsia="仿宋" w:cs="宋体"/>
                <w:sz w:val="18"/>
                <w:szCs w:val="18"/>
              </w:rPr>
              <w:t>～</w:t>
            </w:r>
            <w:r>
              <w:rPr>
                <w:rFonts w:ascii="仿宋" w:hAnsi="仿宋" w:eastAsia="仿宋" w:cs="宋体"/>
                <w:sz w:val="18"/>
                <w:szCs w:val="18"/>
              </w:rPr>
              <w:t>85</w:t>
            </w:r>
          </w:p>
        </w:tc>
        <w:tc>
          <w:tcPr>
            <w:tcW w:w="441" w:type="pct"/>
            <w:vAlign w:val="center"/>
          </w:tcPr>
          <w:p w14:paraId="4F3BBC3F">
            <w:pPr>
              <w:widowControl/>
              <w:jc w:val="center"/>
              <w:rPr>
                <w:rFonts w:hint="eastAsia" w:ascii="仿宋" w:hAnsi="仿宋" w:eastAsia="仿宋" w:cs="宋体"/>
                <w:kern w:val="0"/>
                <w:sz w:val="18"/>
                <w:szCs w:val="18"/>
              </w:rPr>
            </w:pPr>
            <w:r>
              <w:rPr>
                <w:rFonts w:ascii="仿宋" w:hAnsi="仿宋" w:eastAsia="仿宋" w:cs="宋体"/>
                <w:sz w:val="18"/>
                <w:szCs w:val="18"/>
              </w:rPr>
              <w:t>44</w:t>
            </w:r>
            <w:r>
              <w:rPr>
                <w:rFonts w:hint="eastAsia" w:ascii="仿宋" w:hAnsi="仿宋" w:eastAsia="仿宋" w:cs="宋体"/>
                <w:sz w:val="18"/>
                <w:szCs w:val="18"/>
              </w:rPr>
              <w:t>～</w:t>
            </w:r>
            <w:r>
              <w:rPr>
                <w:rFonts w:ascii="仿宋" w:hAnsi="仿宋" w:eastAsia="仿宋" w:cs="宋体"/>
                <w:sz w:val="18"/>
                <w:szCs w:val="18"/>
              </w:rPr>
              <w:t>68</w:t>
            </w:r>
          </w:p>
        </w:tc>
        <w:tc>
          <w:tcPr>
            <w:tcW w:w="440" w:type="pct"/>
            <w:vAlign w:val="center"/>
          </w:tcPr>
          <w:p w14:paraId="41B18F88">
            <w:pPr>
              <w:widowControl/>
              <w:jc w:val="center"/>
              <w:rPr>
                <w:rFonts w:hint="eastAsia" w:ascii="仿宋" w:hAnsi="仿宋" w:eastAsia="仿宋" w:cs="宋体"/>
                <w:kern w:val="0"/>
                <w:sz w:val="18"/>
                <w:szCs w:val="18"/>
              </w:rPr>
            </w:pPr>
            <w:r>
              <w:rPr>
                <w:rFonts w:ascii="仿宋" w:hAnsi="仿宋" w:eastAsia="仿宋" w:cs="宋体"/>
                <w:sz w:val="18"/>
                <w:szCs w:val="18"/>
              </w:rPr>
              <w:t>20</w:t>
            </w:r>
            <w:r>
              <w:rPr>
                <w:rFonts w:hint="eastAsia" w:ascii="仿宋" w:hAnsi="仿宋" w:eastAsia="仿宋" w:cs="宋体"/>
                <w:sz w:val="18"/>
                <w:szCs w:val="18"/>
              </w:rPr>
              <w:t>～</w:t>
            </w:r>
            <w:r>
              <w:rPr>
                <w:rFonts w:ascii="仿宋" w:hAnsi="仿宋" w:eastAsia="仿宋" w:cs="宋体"/>
                <w:sz w:val="18"/>
                <w:szCs w:val="18"/>
              </w:rPr>
              <w:t>42</w:t>
            </w:r>
          </w:p>
        </w:tc>
        <w:tc>
          <w:tcPr>
            <w:tcW w:w="490" w:type="pct"/>
            <w:vAlign w:val="center"/>
          </w:tcPr>
          <w:p w14:paraId="53DC3BA8">
            <w:pPr>
              <w:widowControl/>
              <w:jc w:val="center"/>
              <w:rPr>
                <w:rFonts w:hint="eastAsia" w:ascii="仿宋" w:hAnsi="仿宋" w:eastAsia="仿宋" w:cs="宋体"/>
                <w:kern w:val="0"/>
                <w:sz w:val="18"/>
                <w:szCs w:val="18"/>
              </w:rPr>
            </w:pPr>
            <w:r>
              <w:rPr>
                <w:rFonts w:ascii="仿宋" w:hAnsi="仿宋" w:eastAsia="仿宋" w:cs="宋体"/>
                <w:sz w:val="18"/>
                <w:szCs w:val="18"/>
              </w:rPr>
              <w:t>13</w:t>
            </w:r>
            <w:r>
              <w:rPr>
                <w:rFonts w:hint="eastAsia" w:ascii="仿宋" w:hAnsi="仿宋" w:eastAsia="仿宋" w:cs="宋体"/>
                <w:sz w:val="18"/>
                <w:szCs w:val="18"/>
              </w:rPr>
              <w:t>～</w:t>
            </w:r>
            <w:r>
              <w:rPr>
                <w:rFonts w:ascii="仿宋" w:hAnsi="仿宋" w:eastAsia="仿宋" w:cs="宋体"/>
                <w:sz w:val="18"/>
                <w:szCs w:val="18"/>
              </w:rPr>
              <w:t>32</w:t>
            </w:r>
          </w:p>
        </w:tc>
        <w:tc>
          <w:tcPr>
            <w:tcW w:w="390" w:type="pct"/>
            <w:vAlign w:val="center"/>
          </w:tcPr>
          <w:p w14:paraId="42E98169">
            <w:pPr>
              <w:widowControl/>
              <w:jc w:val="center"/>
              <w:rPr>
                <w:rFonts w:hint="eastAsia" w:ascii="仿宋" w:hAnsi="仿宋" w:eastAsia="仿宋" w:cs="宋体"/>
                <w:kern w:val="0"/>
                <w:sz w:val="18"/>
                <w:szCs w:val="18"/>
              </w:rPr>
            </w:pPr>
            <w:r>
              <w:rPr>
                <w:rFonts w:ascii="仿宋" w:hAnsi="仿宋" w:eastAsia="仿宋" w:cs="宋体"/>
                <w:sz w:val="18"/>
                <w:szCs w:val="18"/>
              </w:rPr>
              <w:t>9</w:t>
            </w:r>
            <w:r>
              <w:rPr>
                <w:rFonts w:hint="eastAsia" w:ascii="仿宋" w:hAnsi="仿宋" w:eastAsia="仿宋" w:cs="宋体"/>
                <w:sz w:val="18"/>
                <w:szCs w:val="18"/>
              </w:rPr>
              <w:t>～</w:t>
            </w:r>
            <w:r>
              <w:rPr>
                <w:rFonts w:ascii="仿宋" w:hAnsi="仿宋" w:eastAsia="仿宋" w:cs="宋体"/>
                <w:sz w:val="18"/>
                <w:szCs w:val="18"/>
              </w:rPr>
              <w:t>25</w:t>
            </w:r>
          </w:p>
        </w:tc>
        <w:tc>
          <w:tcPr>
            <w:tcW w:w="387" w:type="pct"/>
            <w:vAlign w:val="center"/>
          </w:tcPr>
          <w:p w14:paraId="131669C5">
            <w:pPr>
              <w:widowControl/>
              <w:jc w:val="center"/>
              <w:rPr>
                <w:rFonts w:hint="eastAsia" w:ascii="仿宋" w:hAnsi="仿宋" w:eastAsia="仿宋" w:cs="宋体"/>
                <w:kern w:val="0"/>
                <w:sz w:val="18"/>
                <w:szCs w:val="18"/>
              </w:rPr>
            </w:pPr>
            <w:r>
              <w:rPr>
                <w:rFonts w:ascii="仿宋" w:hAnsi="仿宋" w:eastAsia="仿宋" w:cs="宋体"/>
                <w:sz w:val="18"/>
                <w:szCs w:val="18"/>
              </w:rPr>
              <w:t>6</w:t>
            </w:r>
            <w:r>
              <w:rPr>
                <w:rFonts w:hint="eastAsia" w:ascii="仿宋" w:hAnsi="仿宋" w:eastAsia="仿宋" w:cs="宋体"/>
                <w:sz w:val="18"/>
                <w:szCs w:val="18"/>
              </w:rPr>
              <w:t>～</w:t>
            </w:r>
            <w:r>
              <w:rPr>
                <w:rFonts w:ascii="仿宋" w:hAnsi="仿宋" w:eastAsia="仿宋" w:cs="宋体"/>
                <w:sz w:val="18"/>
                <w:szCs w:val="18"/>
              </w:rPr>
              <w:t>18</w:t>
            </w:r>
          </w:p>
        </w:tc>
        <w:tc>
          <w:tcPr>
            <w:tcW w:w="411" w:type="pct"/>
            <w:vAlign w:val="center"/>
          </w:tcPr>
          <w:p w14:paraId="5DE46F20">
            <w:pPr>
              <w:widowControl/>
              <w:jc w:val="center"/>
              <w:rPr>
                <w:rFonts w:hint="eastAsia" w:ascii="仿宋" w:hAnsi="仿宋" w:eastAsia="仿宋" w:cs="宋体"/>
                <w:kern w:val="0"/>
                <w:sz w:val="18"/>
                <w:szCs w:val="18"/>
              </w:rPr>
            </w:pPr>
            <w:r>
              <w:rPr>
                <w:rFonts w:ascii="仿宋" w:hAnsi="仿宋" w:eastAsia="仿宋" w:cs="宋体"/>
                <w:sz w:val="18"/>
                <w:szCs w:val="18"/>
              </w:rPr>
              <w:t>4</w:t>
            </w:r>
            <w:r>
              <w:rPr>
                <w:rFonts w:hint="eastAsia" w:ascii="仿宋" w:hAnsi="仿宋" w:eastAsia="仿宋" w:cs="宋体"/>
                <w:sz w:val="18"/>
                <w:szCs w:val="18"/>
              </w:rPr>
              <w:t>～</w:t>
            </w:r>
            <w:r>
              <w:rPr>
                <w:rFonts w:ascii="仿宋" w:hAnsi="仿宋" w:eastAsia="仿宋" w:cs="宋体"/>
                <w:sz w:val="18"/>
                <w:szCs w:val="18"/>
              </w:rPr>
              <w:t>13</w:t>
            </w:r>
          </w:p>
        </w:tc>
        <w:tc>
          <w:tcPr>
            <w:tcW w:w="365" w:type="pct"/>
            <w:vAlign w:val="center"/>
          </w:tcPr>
          <w:p w14:paraId="1F88002F">
            <w:pPr>
              <w:widowControl/>
              <w:jc w:val="center"/>
              <w:rPr>
                <w:rFonts w:hint="eastAsia" w:ascii="仿宋" w:hAnsi="仿宋" w:eastAsia="仿宋" w:cs="宋体"/>
                <w:kern w:val="0"/>
                <w:sz w:val="18"/>
                <w:szCs w:val="18"/>
              </w:rPr>
            </w:pPr>
            <w:r>
              <w:rPr>
                <w:rFonts w:ascii="仿宋" w:hAnsi="仿宋" w:eastAsia="仿宋" w:cs="宋体"/>
                <w:sz w:val="18"/>
                <w:szCs w:val="18"/>
              </w:rPr>
              <w:t>3</w:t>
            </w:r>
            <w:r>
              <w:rPr>
                <w:rFonts w:hint="eastAsia" w:ascii="仿宋" w:hAnsi="仿宋" w:eastAsia="仿宋" w:cs="宋体"/>
                <w:sz w:val="18"/>
                <w:szCs w:val="18"/>
              </w:rPr>
              <w:t>～</w:t>
            </w:r>
            <w:r>
              <w:rPr>
                <w:rFonts w:ascii="仿宋" w:hAnsi="仿宋" w:eastAsia="仿宋" w:cs="宋体"/>
                <w:sz w:val="18"/>
                <w:szCs w:val="18"/>
              </w:rPr>
              <w:t>7</w:t>
            </w:r>
          </w:p>
        </w:tc>
        <w:tc>
          <w:tcPr>
            <w:tcW w:w="401" w:type="pct"/>
            <w:vAlign w:val="center"/>
          </w:tcPr>
          <w:p w14:paraId="3F7BD195">
            <w:pPr>
              <w:widowControl/>
              <w:jc w:val="center"/>
              <w:rPr>
                <w:rFonts w:hint="eastAsia" w:ascii="仿宋" w:hAnsi="仿宋" w:eastAsia="仿宋" w:cs="宋体"/>
                <w:kern w:val="0"/>
                <w:sz w:val="18"/>
                <w:szCs w:val="18"/>
              </w:rPr>
            </w:pPr>
          </w:p>
        </w:tc>
      </w:tr>
    </w:tbl>
    <w:p w14:paraId="5FBB52CF">
      <w:pPr>
        <w:pStyle w:val="77"/>
        <w:rPr>
          <w:rFonts w:hint="eastAsia" w:ascii="仿宋" w:hAnsi="仿宋" w:eastAsia="仿宋"/>
        </w:rPr>
      </w:pPr>
      <w:r>
        <w:rPr>
          <w:rFonts w:hint="eastAsia" w:ascii="仿宋" w:hAnsi="仿宋" w:eastAsia="仿宋"/>
        </w:rPr>
        <w:t>面层沥青混合料的矿料级配应按混合料级配表的要求，并尽量使级配曲线形成“S”形曲线，这样有利于提高沥青混凝土的性能。沥青混合料的配合比设计及各项技术指标应满足下表要求，试验应遵照《公路工程沥青及沥青混合料试验规程》（JTG E20-2011）的有关规定进行。沥青面层的铺筑质量的内容、频度、允许差应符合《公路沥青路面施工技术规范》（JTG F40-2017）中表11.4.5-1的规定。频度、允许差应符合《公路沥青路面施工技术规范》（JTG F40-2017）中表11.4.5-1的规定。</w:t>
      </w:r>
    </w:p>
    <w:p w14:paraId="3064AFDC">
      <w:pPr>
        <w:pStyle w:val="212"/>
        <w:rPr>
          <w:rFonts w:hint="eastAsia"/>
        </w:rPr>
      </w:pPr>
      <w:r>
        <w:rPr>
          <w:rFonts w:hint="eastAsia"/>
        </w:rPr>
        <w:t>面层沥青混合料技术指标表</w:t>
      </w:r>
    </w:p>
    <w:tbl>
      <w:tblPr>
        <w:tblStyle w:val="27"/>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144"/>
        <w:gridCol w:w="4782"/>
      </w:tblGrid>
      <w:tr w14:paraId="6392DB3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2591" w:type="pct"/>
            <w:shd w:val="clear" w:color="auto" w:fill="D9E2F3" w:themeFill="accent1" w:themeFillTint="33"/>
            <w:vAlign w:val="center"/>
          </w:tcPr>
          <w:p w14:paraId="21BB4A8A">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项目</w:t>
            </w:r>
          </w:p>
        </w:tc>
        <w:tc>
          <w:tcPr>
            <w:tcW w:w="2409" w:type="pct"/>
            <w:shd w:val="clear" w:color="auto" w:fill="D9E2F3" w:themeFill="accent1" w:themeFillTint="33"/>
            <w:vAlign w:val="center"/>
          </w:tcPr>
          <w:p w14:paraId="29274BC7">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指标</w:t>
            </w:r>
          </w:p>
        </w:tc>
      </w:tr>
      <w:tr w14:paraId="3991F84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91" w:type="pct"/>
            <w:shd w:val="clear" w:color="auto" w:fill="FFFFFF"/>
            <w:vAlign w:val="center"/>
          </w:tcPr>
          <w:p w14:paraId="13F1E472">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击实次数（双面）（次）</w:t>
            </w:r>
          </w:p>
        </w:tc>
        <w:tc>
          <w:tcPr>
            <w:tcW w:w="2409" w:type="pct"/>
            <w:shd w:val="clear" w:color="auto" w:fill="FFFFFF"/>
            <w:vAlign w:val="center"/>
          </w:tcPr>
          <w:p w14:paraId="41D593C0">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50</w:t>
            </w:r>
          </w:p>
        </w:tc>
      </w:tr>
      <w:tr w14:paraId="17B27DD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91" w:type="pct"/>
            <w:shd w:val="clear" w:color="auto" w:fill="FFFFFF"/>
            <w:vAlign w:val="center"/>
          </w:tcPr>
          <w:p w14:paraId="2FEE993B">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稳定度（KN)</w:t>
            </w:r>
          </w:p>
        </w:tc>
        <w:tc>
          <w:tcPr>
            <w:tcW w:w="2409" w:type="pct"/>
            <w:shd w:val="clear" w:color="auto" w:fill="FFFFFF"/>
            <w:vAlign w:val="center"/>
          </w:tcPr>
          <w:p w14:paraId="6F793350">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≮5</w:t>
            </w:r>
          </w:p>
        </w:tc>
      </w:tr>
      <w:tr w14:paraId="4AAE696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91" w:type="pct"/>
            <w:shd w:val="clear" w:color="auto" w:fill="FFFFFF"/>
            <w:vAlign w:val="center"/>
          </w:tcPr>
          <w:p w14:paraId="3591C193">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流值（</w:t>
            </w:r>
            <w:r>
              <w:rPr>
                <w:rFonts w:hint="eastAsia" w:ascii="仿宋" w:hAnsi="仿宋" w:eastAsia="仿宋" w:cs="微软雅黑"/>
                <w:kern w:val="0"/>
                <w:sz w:val="21"/>
                <w:szCs w:val="21"/>
              </w:rPr>
              <w:t>㎜</w:t>
            </w:r>
            <w:r>
              <w:rPr>
                <w:rFonts w:hint="eastAsia" w:ascii="仿宋" w:hAnsi="仿宋" w:eastAsia="仿宋" w:cs="仿宋_GB2312"/>
                <w:kern w:val="0"/>
                <w:sz w:val="21"/>
                <w:szCs w:val="21"/>
              </w:rPr>
              <w:t>）</w:t>
            </w:r>
          </w:p>
        </w:tc>
        <w:tc>
          <w:tcPr>
            <w:tcW w:w="2409" w:type="pct"/>
            <w:shd w:val="clear" w:color="auto" w:fill="FFFFFF"/>
            <w:vAlign w:val="center"/>
          </w:tcPr>
          <w:p w14:paraId="33BBE78A">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2～4.5</w:t>
            </w:r>
          </w:p>
        </w:tc>
      </w:tr>
      <w:tr w14:paraId="5E7AE88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91" w:type="pct"/>
            <w:shd w:val="clear" w:color="auto" w:fill="FFFFFF"/>
            <w:vAlign w:val="center"/>
          </w:tcPr>
          <w:p w14:paraId="200D9CAF">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空隙率（%）</w:t>
            </w:r>
          </w:p>
        </w:tc>
        <w:tc>
          <w:tcPr>
            <w:tcW w:w="2409" w:type="pct"/>
            <w:shd w:val="clear" w:color="auto" w:fill="FFFFFF"/>
            <w:vAlign w:val="center"/>
          </w:tcPr>
          <w:p w14:paraId="4540B55F">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3～6</w:t>
            </w:r>
          </w:p>
        </w:tc>
      </w:tr>
      <w:tr w14:paraId="51437EC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91" w:type="pct"/>
            <w:shd w:val="clear" w:color="auto" w:fill="FFFFFF"/>
            <w:vAlign w:val="center"/>
          </w:tcPr>
          <w:p w14:paraId="2C36ABC1">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沥青饱和度（%）</w:t>
            </w:r>
          </w:p>
        </w:tc>
        <w:tc>
          <w:tcPr>
            <w:tcW w:w="2409" w:type="pct"/>
            <w:shd w:val="clear" w:color="auto" w:fill="FFFFFF"/>
            <w:vAlign w:val="center"/>
          </w:tcPr>
          <w:p w14:paraId="4867CD80">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65～75</w:t>
            </w:r>
          </w:p>
        </w:tc>
      </w:tr>
      <w:tr w14:paraId="681D136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91" w:type="pct"/>
            <w:shd w:val="clear" w:color="auto" w:fill="FFFFFF"/>
            <w:vAlign w:val="center"/>
          </w:tcPr>
          <w:p w14:paraId="2563FCAD">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浸水马歇尔试验残留稳定度比不小于</w:t>
            </w:r>
          </w:p>
        </w:tc>
        <w:tc>
          <w:tcPr>
            <w:tcW w:w="2409" w:type="pct"/>
            <w:shd w:val="clear" w:color="auto" w:fill="FFFFFF"/>
            <w:vAlign w:val="center"/>
          </w:tcPr>
          <w:p w14:paraId="07E144E7">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75%</w:t>
            </w:r>
          </w:p>
        </w:tc>
      </w:tr>
      <w:tr w14:paraId="21F2D47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91" w:type="pct"/>
            <w:shd w:val="clear" w:color="auto" w:fill="FFFFFF"/>
            <w:vAlign w:val="center"/>
          </w:tcPr>
          <w:p w14:paraId="3E7E4D2E">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动稳定度（次/</w:t>
            </w:r>
            <w:r>
              <w:rPr>
                <w:rFonts w:hint="eastAsia" w:ascii="仿宋" w:hAnsi="仿宋" w:eastAsia="仿宋" w:cs="微软雅黑"/>
                <w:kern w:val="0"/>
                <w:sz w:val="21"/>
                <w:szCs w:val="21"/>
              </w:rPr>
              <w:t>㎜</w:t>
            </w:r>
            <w:r>
              <w:rPr>
                <w:rFonts w:hint="eastAsia" w:ascii="仿宋" w:hAnsi="仿宋" w:eastAsia="仿宋" w:cs="仿宋_GB2312"/>
                <w:kern w:val="0"/>
                <w:sz w:val="21"/>
                <w:szCs w:val="21"/>
              </w:rPr>
              <w:t>）</w:t>
            </w:r>
          </w:p>
        </w:tc>
        <w:tc>
          <w:tcPr>
            <w:tcW w:w="2409" w:type="pct"/>
            <w:shd w:val="clear" w:color="auto" w:fill="FFFFFF"/>
            <w:vAlign w:val="center"/>
          </w:tcPr>
          <w:p w14:paraId="0E63B3BB">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不小于800</w:t>
            </w:r>
          </w:p>
        </w:tc>
      </w:tr>
      <w:tr w14:paraId="1CABFC1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91" w:type="pct"/>
            <w:shd w:val="clear" w:color="auto" w:fill="FFFFFF"/>
            <w:vAlign w:val="center"/>
          </w:tcPr>
          <w:p w14:paraId="7BCEAB27">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冻融劈裂试验残留强度比不小于</w:t>
            </w:r>
          </w:p>
        </w:tc>
        <w:tc>
          <w:tcPr>
            <w:tcW w:w="2409" w:type="pct"/>
            <w:shd w:val="clear" w:color="auto" w:fill="FFFFFF"/>
            <w:vAlign w:val="center"/>
          </w:tcPr>
          <w:p w14:paraId="4288FF03">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70%</w:t>
            </w:r>
          </w:p>
        </w:tc>
      </w:tr>
      <w:tr w14:paraId="386F9C1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91" w:type="pct"/>
            <w:shd w:val="clear" w:color="auto" w:fill="FFFFFF"/>
            <w:vAlign w:val="center"/>
          </w:tcPr>
          <w:p w14:paraId="0CF1FA2F">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低温弯曲试验破坏应变（με）</w:t>
            </w:r>
          </w:p>
        </w:tc>
        <w:tc>
          <w:tcPr>
            <w:tcW w:w="2409" w:type="pct"/>
            <w:shd w:val="clear" w:color="auto" w:fill="FFFFFF"/>
            <w:vAlign w:val="center"/>
          </w:tcPr>
          <w:p w14:paraId="3A17A707">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不小于2300</w:t>
            </w:r>
          </w:p>
        </w:tc>
      </w:tr>
    </w:tbl>
    <w:p w14:paraId="2CC43BC8">
      <w:pPr>
        <w:pStyle w:val="208"/>
        <w:ind w:firstLine="482" w:firstLineChars="200"/>
        <w:rPr>
          <w:rFonts w:hint="eastAsia"/>
        </w:rPr>
      </w:pPr>
      <w:r>
        <w:rPr>
          <w:rFonts w:hint="eastAsia"/>
        </w:rPr>
        <w:t>石油沥青</w:t>
      </w:r>
    </w:p>
    <w:p w14:paraId="7F36332E">
      <w:pPr>
        <w:pStyle w:val="77"/>
        <w:rPr>
          <w:rFonts w:hint="eastAsia" w:ascii="仿宋" w:hAnsi="仿宋" w:eastAsia="仿宋"/>
        </w:rPr>
      </w:pPr>
      <w:r>
        <w:rPr>
          <w:rFonts w:hint="eastAsia" w:ascii="仿宋" w:hAnsi="仿宋" w:eastAsia="仿宋"/>
        </w:rPr>
        <w:t>面层采用石油沥青90号，沥青与石料的黏附性不小于4级，不能满足时可掺加抗剥落剂，用量按实验结果确定。其质量应符合《公路沥青路面施工技术规范》（JTG F40-2004）中表4.2.1-2 90号的规定。</w:t>
      </w:r>
    </w:p>
    <w:p w14:paraId="5D566F82">
      <w:pPr>
        <w:pStyle w:val="212"/>
        <w:rPr>
          <w:rFonts w:hint="eastAsia"/>
        </w:rPr>
      </w:pPr>
      <w:r>
        <w:rPr>
          <w:rFonts w:hint="eastAsia"/>
        </w:rPr>
        <w:t>道路石油沥青技术要求</w:t>
      </w:r>
    </w:p>
    <w:tbl>
      <w:tblPr>
        <w:tblStyle w:val="27"/>
        <w:tblW w:w="5000" w:type="pct"/>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5739"/>
        <w:gridCol w:w="1539"/>
        <w:gridCol w:w="2648"/>
      </w:tblGrid>
      <w:tr w14:paraId="3D0240A7">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54" w:hRule="atLeast"/>
          <w:tblHeader/>
        </w:trPr>
        <w:tc>
          <w:tcPr>
            <w:tcW w:w="2891" w:type="pct"/>
            <w:shd w:val="clear" w:color="auto" w:fill="D9E2F3" w:themeFill="accent1" w:themeFillTint="33"/>
            <w:noWrap/>
            <w:vAlign w:val="center"/>
          </w:tcPr>
          <w:p w14:paraId="5800BB8C">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指标</w:t>
            </w:r>
          </w:p>
        </w:tc>
        <w:tc>
          <w:tcPr>
            <w:tcW w:w="775" w:type="pct"/>
            <w:shd w:val="clear" w:color="auto" w:fill="D9E2F3" w:themeFill="accent1" w:themeFillTint="33"/>
            <w:noWrap/>
            <w:vAlign w:val="center"/>
          </w:tcPr>
          <w:p w14:paraId="2F27C439">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单位</w:t>
            </w:r>
          </w:p>
        </w:tc>
        <w:tc>
          <w:tcPr>
            <w:tcW w:w="1334" w:type="pct"/>
            <w:shd w:val="clear" w:color="auto" w:fill="D9E2F3" w:themeFill="accent1" w:themeFillTint="33"/>
            <w:noWrap/>
            <w:vAlign w:val="center"/>
          </w:tcPr>
          <w:p w14:paraId="239F9ACC">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A级90号</w:t>
            </w:r>
          </w:p>
        </w:tc>
      </w:tr>
      <w:tr w14:paraId="4346D5CF">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891" w:type="pct"/>
            <w:shd w:val="clear" w:color="auto" w:fill="FFFFFF"/>
            <w:noWrap/>
            <w:vAlign w:val="center"/>
          </w:tcPr>
          <w:p w14:paraId="1A771785">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针入度(25℃，5s,100g)</w:t>
            </w:r>
          </w:p>
        </w:tc>
        <w:tc>
          <w:tcPr>
            <w:tcW w:w="775" w:type="pct"/>
            <w:shd w:val="clear" w:color="auto" w:fill="FFFFFF"/>
            <w:noWrap/>
            <w:vAlign w:val="center"/>
          </w:tcPr>
          <w:p w14:paraId="65CDFC6A">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0.1mm</w:t>
            </w:r>
          </w:p>
        </w:tc>
        <w:tc>
          <w:tcPr>
            <w:tcW w:w="1334" w:type="pct"/>
            <w:shd w:val="clear" w:color="auto" w:fill="FFFFFF"/>
            <w:noWrap/>
            <w:vAlign w:val="center"/>
          </w:tcPr>
          <w:p w14:paraId="2A596A11">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80～100</w:t>
            </w:r>
          </w:p>
        </w:tc>
      </w:tr>
      <w:tr w14:paraId="2C64E74D">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891" w:type="pct"/>
            <w:shd w:val="clear" w:color="auto" w:fill="FFFFFF"/>
            <w:noWrap/>
            <w:vAlign w:val="center"/>
          </w:tcPr>
          <w:p w14:paraId="0F85328E">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针入度指数PI</w:t>
            </w:r>
          </w:p>
        </w:tc>
        <w:tc>
          <w:tcPr>
            <w:tcW w:w="775" w:type="pct"/>
            <w:shd w:val="clear" w:color="auto" w:fill="FFFFFF"/>
            <w:noWrap/>
            <w:vAlign w:val="center"/>
          </w:tcPr>
          <w:p w14:paraId="03F12896">
            <w:pPr>
              <w:jc w:val="center"/>
              <w:rPr>
                <w:rFonts w:hint="eastAsia" w:ascii="仿宋" w:hAnsi="仿宋" w:eastAsia="仿宋" w:cs="仿宋_GB2312"/>
                <w:sz w:val="21"/>
                <w:szCs w:val="21"/>
              </w:rPr>
            </w:pPr>
          </w:p>
        </w:tc>
        <w:tc>
          <w:tcPr>
            <w:tcW w:w="1334" w:type="pct"/>
            <w:shd w:val="clear" w:color="auto" w:fill="FFFFFF"/>
            <w:noWrap/>
            <w:vAlign w:val="center"/>
          </w:tcPr>
          <w:p w14:paraId="55AEC268">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-1.5～+1.0</w:t>
            </w:r>
          </w:p>
        </w:tc>
      </w:tr>
      <w:tr w14:paraId="169BEE12">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891" w:type="pct"/>
            <w:shd w:val="clear" w:color="auto" w:fill="FFFFFF"/>
            <w:noWrap/>
            <w:vAlign w:val="center"/>
          </w:tcPr>
          <w:p w14:paraId="360A2E72">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软化点(R&amp;B)不小于</w:t>
            </w:r>
          </w:p>
        </w:tc>
        <w:tc>
          <w:tcPr>
            <w:tcW w:w="775" w:type="pct"/>
            <w:shd w:val="clear" w:color="auto" w:fill="FFFFFF"/>
            <w:noWrap/>
            <w:vAlign w:val="center"/>
          </w:tcPr>
          <w:p w14:paraId="3FA48B1A">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w:t>
            </w:r>
          </w:p>
        </w:tc>
        <w:tc>
          <w:tcPr>
            <w:tcW w:w="1334" w:type="pct"/>
            <w:shd w:val="clear" w:color="auto" w:fill="FFFFFF"/>
            <w:noWrap/>
            <w:vAlign w:val="center"/>
          </w:tcPr>
          <w:p w14:paraId="26794D6C">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44</w:t>
            </w:r>
          </w:p>
        </w:tc>
      </w:tr>
      <w:tr w14:paraId="04ACC56F">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891" w:type="pct"/>
            <w:shd w:val="clear" w:color="auto" w:fill="FFFFFF"/>
            <w:noWrap/>
            <w:vAlign w:val="center"/>
          </w:tcPr>
          <w:p w14:paraId="7708E71A">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60℃动力粘度不小于</w:t>
            </w:r>
          </w:p>
        </w:tc>
        <w:tc>
          <w:tcPr>
            <w:tcW w:w="775" w:type="pct"/>
            <w:shd w:val="clear" w:color="auto" w:fill="FFFFFF"/>
            <w:noWrap/>
            <w:vAlign w:val="center"/>
          </w:tcPr>
          <w:p w14:paraId="2B96C3FC">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Pa·s</w:t>
            </w:r>
          </w:p>
        </w:tc>
        <w:tc>
          <w:tcPr>
            <w:tcW w:w="1334" w:type="pct"/>
            <w:shd w:val="clear" w:color="auto" w:fill="FFFFFF"/>
            <w:noWrap/>
            <w:vAlign w:val="center"/>
          </w:tcPr>
          <w:p w14:paraId="51E977FB">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140</w:t>
            </w:r>
          </w:p>
        </w:tc>
      </w:tr>
      <w:tr w14:paraId="756BF42A">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891" w:type="pct"/>
            <w:shd w:val="clear" w:color="auto" w:fill="FFFFFF"/>
            <w:noWrap/>
            <w:vAlign w:val="center"/>
          </w:tcPr>
          <w:p w14:paraId="731EE05A">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10℃延度不小于</w:t>
            </w:r>
          </w:p>
        </w:tc>
        <w:tc>
          <w:tcPr>
            <w:tcW w:w="775" w:type="pct"/>
            <w:shd w:val="clear" w:color="auto" w:fill="FFFFFF"/>
            <w:noWrap/>
            <w:vAlign w:val="center"/>
          </w:tcPr>
          <w:p w14:paraId="0291E345">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cm</w:t>
            </w:r>
          </w:p>
        </w:tc>
        <w:tc>
          <w:tcPr>
            <w:tcW w:w="1334" w:type="pct"/>
            <w:shd w:val="clear" w:color="auto" w:fill="FFFFFF"/>
            <w:noWrap/>
            <w:vAlign w:val="center"/>
          </w:tcPr>
          <w:p w14:paraId="31C88A3C">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30</w:t>
            </w:r>
          </w:p>
        </w:tc>
      </w:tr>
      <w:tr w14:paraId="4D727616">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891" w:type="pct"/>
            <w:shd w:val="clear" w:color="auto" w:fill="FFFFFF"/>
            <w:noWrap/>
            <w:vAlign w:val="center"/>
          </w:tcPr>
          <w:p w14:paraId="4982F455">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15℃延度不小于</w:t>
            </w:r>
          </w:p>
        </w:tc>
        <w:tc>
          <w:tcPr>
            <w:tcW w:w="775" w:type="pct"/>
            <w:shd w:val="clear" w:color="auto" w:fill="FFFFFF"/>
            <w:noWrap/>
            <w:vAlign w:val="center"/>
          </w:tcPr>
          <w:p w14:paraId="3FE42B22">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cm</w:t>
            </w:r>
          </w:p>
        </w:tc>
        <w:tc>
          <w:tcPr>
            <w:tcW w:w="1334" w:type="pct"/>
            <w:shd w:val="clear" w:color="auto" w:fill="FFFFFF"/>
            <w:noWrap/>
            <w:vAlign w:val="center"/>
          </w:tcPr>
          <w:p w14:paraId="2F57916B">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100</w:t>
            </w:r>
          </w:p>
        </w:tc>
      </w:tr>
      <w:tr w14:paraId="798E2416">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891" w:type="pct"/>
            <w:shd w:val="clear" w:color="auto" w:fill="FFFFFF"/>
            <w:noWrap/>
            <w:vAlign w:val="center"/>
          </w:tcPr>
          <w:p w14:paraId="3B28F705">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蜡含量(蒸馏法)不大于</w:t>
            </w:r>
          </w:p>
        </w:tc>
        <w:tc>
          <w:tcPr>
            <w:tcW w:w="775" w:type="pct"/>
            <w:shd w:val="clear" w:color="auto" w:fill="FFFFFF"/>
            <w:noWrap/>
            <w:vAlign w:val="center"/>
          </w:tcPr>
          <w:p w14:paraId="2D994A2B">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w:t>
            </w:r>
          </w:p>
        </w:tc>
        <w:tc>
          <w:tcPr>
            <w:tcW w:w="1334" w:type="pct"/>
            <w:shd w:val="clear" w:color="auto" w:fill="FFFFFF"/>
            <w:noWrap/>
            <w:vAlign w:val="center"/>
          </w:tcPr>
          <w:p w14:paraId="6CBF14CE">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2.2</w:t>
            </w:r>
          </w:p>
        </w:tc>
      </w:tr>
      <w:tr w14:paraId="3216711F">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891" w:type="pct"/>
            <w:shd w:val="clear" w:color="auto" w:fill="FFFFFF"/>
            <w:noWrap/>
            <w:vAlign w:val="center"/>
          </w:tcPr>
          <w:p w14:paraId="5D0B4691">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闪电不小于</w:t>
            </w:r>
          </w:p>
        </w:tc>
        <w:tc>
          <w:tcPr>
            <w:tcW w:w="775" w:type="pct"/>
            <w:shd w:val="clear" w:color="auto" w:fill="FFFFFF"/>
            <w:noWrap/>
            <w:vAlign w:val="center"/>
          </w:tcPr>
          <w:p w14:paraId="149F1C25">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w:t>
            </w:r>
          </w:p>
        </w:tc>
        <w:tc>
          <w:tcPr>
            <w:tcW w:w="1334" w:type="pct"/>
            <w:shd w:val="clear" w:color="auto" w:fill="FFFFFF"/>
            <w:noWrap/>
            <w:vAlign w:val="center"/>
          </w:tcPr>
          <w:p w14:paraId="37076765">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245</w:t>
            </w:r>
          </w:p>
        </w:tc>
      </w:tr>
      <w:tr w14:paraId="4DB23BF6">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891" w:type="pct"/>
            <w:shd w:val="clear" w:color="auto" w:fill="FFFFFF"/>
            <w:noWrap/>
            <w:vAlign w:val="center"/>
          </w:tcPr>
          <w:p w14:paraId="21FE8D87">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溶解度不小于</w:t>
            </w:r>
          </w:p>
        </w:tc>
        <w:tc>
          <w:tcPr>
            <w:tcW w:w="775" w:type="pct"/>
            <w:shd w:val="clear" w:color="auto" w:fill="FFFFFF"/>
            <w:noWrap/>
            <w:vAlign w:val="center"/>
          </w:tcPr>
          <w:p w14:paraId="3D8830A9">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w:t>
            </w:r>
          </w:p>
        </w:tc>
        <w:tc>
          <w:tcPr>
            <w:tcW w:w="1334" w:type="pct"/>
            <w:shd w:val="clear" w:color="auto" w:fill="FFFFFF"/>
            <w:noWrap/>
            <w:vAlign w:val="center"/>
          </w:tcPr>
          <w:p w14:paraId="2CBF9B36">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99.5</w:t>
            </w:r>
          </w:p>
        </w:tc>
      </w:tr>
      <w:tr w14:paraId="7A378713">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891" w:type="pct"/>
            <w:shd w:val="clear" w:color="auto" w:fill="FFFFFF"/>
            <w:noWrap/>
            <w:vAlign w:val="center"/>
          </w:tcPr>
          <w:p w14:paraId="49B321EF">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质量变化不大于</w:t>
            </w:r>
          </w:p>
        </w:tc>
        <w:tc>
          <w:tcPr>
            <w:tcW w:w="775" w:type="pct"/>
            <w:shd w:val="clear" w:color="auto" w:fill="FFFFFF"/>
            <w:noWrap/>
            <w:vAlign w:val="center"/>
          </w:tcPr>
          <w:p w14:paraId="7829B84B">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w:t>
            </w:r>
          </w:p>
        </w:tc>
        <w:tc>
          <w:tcPr>
            <w:tcW w:w="1334" w:type="pct"/>
            <w:shd w:val="clear" w:color="auto" w:fill="FFFFFF"/>
            <w:noWrap/>
            <w:vAlign w:val="center"/>
          </w:tcPr>
          <w:p w14:paraId="739019B7">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±0.8</w:t>
            </w:r>
          </w:p>
        </w:tc>
      </w:tr>
      <w:tr w14:paraId="0101E462">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891" w:type="pct"/>
            <w:shd w:val="clear" w:color="auto" w:fill="FFFFFF"/>
            <w:noWrap/>
            <w:vAlign w:val="center"/>
          </w:tcPr>
          <w:p w14:paraId="3F45DF03">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残留针入度比(25℃)不小于</w:t>
            </w:r>
          </w:p>
        </w:tc>
        <w:tc>
          <w:tcPr>
            <w:tcW w:w="775" w:type="pct"/>
            <w:shd w:val="clear" w:color="auto" w:fill="FFFFFF"/>
            <w:noWrap/>
            <w:vAlign w:val="center"/>
          </w:tcPr>
          <w:p w14:paraId="76893A59">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w:t>
            </w:r>
          </w:p>
        </w:tc>
        <w:tc>
          <w:tcPr>
            <w:tcW w:w="1334" w:type="pct"/>
            <w:shd w:val="clear" w:color="auto" w:fill="FFFFFF"/>
            <w:noWrap/>
            <w:vAlign w:val="center"/>
          </w:tcPr>
          <w:p w14:paraId="09905462">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57</w:t>
            </w:r>
          </w:p>
        </w:tc>
      </w:tr>
      <w:tr w14:paraId="167484F5">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891" w:type="pct"/>
            <w:shd w:val="clear" w:color="auto" w:fill="FFFFFF"/>
            <w:noWrap/>
            <w:vAlign w:val="center"/>
          </w:tcPr>
          <w:p w14:paraId="40A34098">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残留延度(10℃)不小于</w:t>
            </w:r>
          </w:p>
        </w:tc>
        <w:tc>
          <w:tcPr>
            <w:tcW w:w="775" w:type="pct"/>
            <w:shd w:val="clear" w:color="auto" w:fill="FFFFFF"/>
            <w:noWrap/>
            <w:vAlign w:val="center"/>
          </w:tcPr>
          <w:p w14:paraId="51F1DB83">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cm</w:t>
            </w:r>
          </w:p>
        </w:tc>
        <w:tc>
          <w:tcPr>
            <w:tcW w:w="1334" w:type="pct"/>
            <w:shd w:val="clear" w:color="auto" w:fill="FFFFFF"/>
            <w:noWrap/>
            <w:vAlign w:val="center"/>
          </w:tcPr>
          <w:p w14:paraId="467F2328">
            <w:pPr>
              <w:widowControl/>
              <w:jc w:val="center"/>
              <w:textAlignment w:val="center"/>
              <w:rPr>
                <w:rFonts w:hint="eastAsia" w:ascii="仿宋" w:hAnsi="仿宋" w:eastAsia="仿宋" w:cs="仿宋_GB2312"/>
                <w:sz w:val="21"/>
                <w:szCs w:val="21"/>
              </w:rPr>
            </w:pPr>
            <w:r>
              <w:rPr>
                <w:rFonts w:hint="eastAsia" w:ascii="仿宋" w:hAnsi="仿宋" w:eastAsia="仿宋" w:cs="仿宋_GB2312"/>
                <w:kern w:val="0"/>
                <w:sz w:val="21"/>
                <w:szCs w:val="21"/>
                <w:lang w:bidi="ar"/>
              </w:rPr>
              <w:t>8</w:t>
            </w:r>
          </w:p>
        </w:tc>
      </w:tr>
      <w:tr w14:paraId="4537A40A">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891" w:type="pct"/>
            <w:shd w:val="clear" w:color="auto" w:fill="FFFFFF"/>
            <w:noWrap/>
            <w:vAlign w:val="center"/>
          </w:tcPr>
          <w:p w14:paraId="0F1D732A">
            <w:pPr>
              <w:widowControl/>
              <w:jc w:val="center"/>
              <w:textAlignment w:val="center"/>
              <w:rPr>
                <w:rFonts w:hint="eastAsia" w:ascii="仿宋" w:hAnsi="仿宋" w:eastAsia="仿宋" w:cs="仿宋_GB2312"/>
                <w:kern w:val="0"/>
                <w:sz w:val="21"/>
                <w:szCs w:val="21"/>
                <w:lang w:bidi="ar"/>
              </w:rPr>
            </w:pPr>
            <w:r>
              <w:rPr>
                <w:rFonts w:hint="eastAsia" w:ascii="仿宋" w:hAnsi="仿宋" w:eastAsia="仿宋" w:cs="仿宋_GB2312"/>
                <w:kern w:val="0"/>
                <w:sz w:val="21"/>
                <w:szCs w:val="21"/>
                <w:lang w:bidi="ar"/>
              </w:rPr>
              <w:t>残留延度(15℃)不小于</w:t>
            </w:r>
          </w:p>
        </w:tc>
        <w:tc>
          <w:tcPr>
            <w:tcW w:w="775" w:type="pct"/>
            <w:shd w:val="clear" w:color="auto" w:fill="FFFFFF"/>
            <w:noWrap/>
            <w:vAlign w:val="center"/>
          </w:tcPr>
          <w:p w14:paraId="77D7C2A9">
            <w:pPr>
              <w:widowControl/>
              <w:jc w:val="center"/>
              <w:textAlignment w:val="center"/>
              <w:rPr>
                <w:rFonts w:hint="eastAsia" w:ascii="仿宋" w:hAnsi="仿宋" w:eastAsia="仿宋" w:cs="仿宋_GB2312"/>
                <w:kern w:val="0"/>
                <w:sz w:val="21"/>
                <w:szCs w:val="21"/>
                <w:lang w:bidi="ar"/>
              </w:rPr>
            </w:pPr>
            <w:r>
              <w:rPr>
                <w:rFonts w:hint="eastAsia" w:ascii="仿宋" w:hAnsi="仿宋" w:eastAsia="仿宋" w:cs="仿宋_GB2312"/>
                <w:kern w:val="0"/>
                <w:sz w:val="21"/>
                <w:szCs w:val="21"/>
                <w:lang w:bidi="ar"/>
              </w:rPr>
              <w:t>cm</w:t>
            </w:r>
          </w:p>
        </w:tc>
        <w:tc>
          <w:tcPr>
            <w:tcW w:w="1334" w:type="pct"/>
            <w:shd w:val="clear" w:color="auto" w:fill="FFFFFF"/>
            <w:noWrap/>
            <w:vAlign w:val="center"/>
          </w:tcPr>
          <w:p w14:paraId="2B53B446">
            <w:pPr>
              <w:widowControl/>
              <w:jc w:val="center"/>
              <w:textAlignment w:val="center"/>
              <w:rPr>
                <w:rFonts w:hint="eastAsia" w:ascii="仿宋" w:hAnsi="仿宋" w:eastAsia="仿宋" w:cs="仿宋_GB2312"/>
                <w:kern w:val="0"/>
                <w:sz w:val="21"/>
                <w:szCs w:val="21"/>
                <w:lang w:bidi="ar"/>
              </w:rPr>
            </w:pPr>
            <w:r>
              <w:rPr>
                <w:rFonts w:hint="eastAsia" w:ascii="仿宋" w:hAnsi="仿宋" w:eastAsia="仿宋" w:cs="仿宋_GB2312"/>
                <w:kern w:val="0"/>
                <w:sz w:val="21"/>
                <w:szCs w:val="21"/>
                <w:lang w:bidi="ar"/>
              </w:rPr>
              <w:t>20</w:t>
            </w:r>
          </w:p>
        </w:tc>
      </w:tr>
    </w:tbl>
    <w:p w14:paraId="029CFFD5">
      <w:pPr>
        <w:pStyle w:val="212"/>
        <w:rPr>
          <w:rFonts w:hint="eastAsia"/>
        </w:rPr>
      </w:pPr>
    </w:p>
    <w:p w14:paraId="5C0F4CF1">
      <w:pPr>
        <w:pStyle w:val="208"/>
        <w:ind w:firstLine="482" w:firstLineChars="200"/>
        <w:rPr>
          <w:rFonts w:hint="eastAsia"/>
        </w:rPr>
      </w:pPr>
      <w:r>
        <w:rPr>
          <w:rFonts w:hint="eastAsia"/>
        </w:rPr>
        <w:t>粗集料</w:t>
      </w:r>
    </w:p>
    <w:p w14:paraId="5207AD17">
      <w:pPr>
        <w:pStyle w:val="77"/>
        <w:rPr>
          <w:rFonts w:hint="eastAsia" w:ascii="仿宋" w:hAnsi="仿宋" w:eastAsia="仿宋"/>
        </w:rPr>
      </w:pPr>
      <w:r>
        <w:rPr>
          <w:rFonts w:hint="eastAsia" w:ascii="仿宋" w:hAnsi="仿宋" w:eastAsia="仿宋"/>
        </w:rPr>
        <w:t>沥青混凝土路面用的粗集料应选用坚硬、耐磨、抗冲击性好的碎石，应采用锤式或反击式破碎机生产的碎石，以保证骨料品质。集料应干燥、洁净、无风化、无杂质，具有足够的强度和耐磨性。其粒径规格及技术指标符合《公路沥青路面施工技术规范》（JTG F40-2017）中表4.8.3和表4.8.2（其他等级公路项）的规定见表《沥青面层用粗集料质量技术要求》和《沥青面层用粗集料规格(方孔筛)》。</w:t>
      </w:r>
    </w:p>
    <w:p w14:paraId="0B883FA6">
      <w:pPr>
        <w:pStyle w:val="212"/>
        <w:rPr>
          <w:rFonts w:hint="eastAsia"/>
        </w:rPr>
      </w:pPr>
      <w:r>
        <w:rPr>
          <w:rFonts w:hint="eastAsia"/>
        </w:rPr>
        <w:t>沥青面层用粗集料规格(方孔筛)</w:t>
      </w:r>
    </w:p>
    <w:tbl>
      <w:tblPr>
        <w:tblStyle w:val="27"/>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29"/>
        <w:gridCol w:w="802"/>
        <w:gridCol w:w="530"/>
        <w:gridCol w:w="691"/>
        <w:gridCol w:w="689"/>
        <w:gridCol w:w="689"/>
        <w:gridCol w:w="689"/>
        <w:gridCol w:w="689"/>
        <w:gridCol w:w="689"/>
        <w:gridCol w:w="691"/>
        <w:gridCol w:w="691"/>
        <w:gridCol w:w="691"/>
        <w:gridCol w:w="691"/>
        <w:gridCol w:w="637"/>
        <w:gridCol w:w="528"/>
      </w:tblGrid>
      <w:tr w14:paraId="54B55E4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267" w:type="pct"/>
            <w:vMerge w:val="restart"/>
            <w:shd w:val="clear" w:color="auto" w:fill="D9E2F3" w:themeFill="accent1" w:themeFillTint="33"/>
            <w:vAlign w:val="center"/>
          </w:tcPr>
          <w:p w14:paraId="04FE7330">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规格</w:t>
            </w:r>
          </w:p>
        </w:tc>
        <w:tc>
          <w:tcPr>
            <w:tcW w:w="404" w:type="pct"/>
            <w:vMerge w:val="restart"/>
            <w:shd w:val="clear" w:color="auto" w:fill="D9E2F3" w:themeFill="accent1" w:themeFillTint="33"/>
            <w:vAlign w:val="center"/>
          </w:tcPr>
          <w:p w14:paraId="3095AE89">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公称粒径</w:t>
            </w:r>
          </w:p>
          <w:p w14:paraId="79559D26">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(mm)</w:t>
            </w:r>
          </w:p>
        </w:tc>
        <w:tc>
          <w:tcPr>
            <w:tcW w:w="4329" w:type="pct"/>
            <w:gridSpan w:val="13"/>
            <w:shd w:val="clear" w:color="auto" w:fill="D9E2F3" w:themeFill="accent1" w:themeFillTint="33"/>
            <w:vAlign w:val="center"/>
          </w:tcPr>
          <w:p w14:paraId="647AC3C6">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通过下列筛孔(方孔筛,mm)的质量百分率（％）</w:t>
            </w:r>
          </w:p>
        </w:tc>
      </w:tr>
      <w:tr w14:paraId="60B86B5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267" w:type="pct"/>
            <w:vMerge w:val="continue"/>
            <w:shd w:val="clear" w:color="auto" w:fill="D9E2F3" w:themeFill="accent1" w:themeFillTint="33"/>
            <w:vAlign w:val="center"/>
          </w:tcPr>
          <w:p w14:paraId="4CEE40A7">
            <w:pPr>
              <w:widowControl/>
              <w:jc w:val="left"/>
              <w:rPr>
                <w:rFonts w:hint="eastAsia" w:ascii="仿宋" w:hAnsi="仿宋" w:eastAsia="仿宋" w:cs="仿宋_GB2312"/>
                <w:kern w:val="0"/>
                <w:sz w:val="18"/>
                <w:szCs w:val="18"/>
              </w:rPr>
            </w:pPr>
          </w:p>
        </w:tc>
        <w:tc>
          <w:tcPr>
            <w:tcW w:w="404" w:type="pct"/>
            <w:vMerge w:val="continue"/>
            <w:shd w:val="clear" w:color="auto" w:fill="D9E2F3" w:themeFill="accent1" w:themeFillTint="33"/>
            <w:vAlign w:val="center"/>
          </w:tcPr>
          <w:p w14:paraId="6B331A5C">
            <w:pPr>
              <w:widowControl/>
              <w:jc w:val="left"/>
              <w:rPr>
                <w:rFonts w:hint="eastAsia" w:ascii="仿宋" w:hAnsi="仿宋" w:eastAsia="仿宋" w:cs="仿宋_GB2312"/>
                <w:kern w:val="0"/>
                <w:sz w:val="18"/>
                <w:szCs w:val="18"/>
              </w:rPr>
            </w:pPr>
          </w:p>
        </w:tc>
        <w:tc>
          <w:tcPr>
            <w:tcW w:w="267" w:type="pct"/>
            <w:shd w:val="clear" w:color="auto" w:fill="D9E2F3" w:themeFill="accent1" w:themeFillTint="33"/>
            <w:vAlign w:val="center"/>
          </w:tcPr>
          <w:p w14:paraId="22873781">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106</w:t>
            </w:r>
          </w:p>
        </w:tc>
        <w:tc>
          <w:tcPr>
            <w:tcW w:w="348" w:type="pct"/>
            <w:shd w:val="clear" w:color="auto" w:fill="D9E2F3" w:themeFill="accent1" w:themeFillTint="33"/>
            <w:vAlign w:val="center"/>
          </w:tcPr>
          <w:p w14:paraId="386921E9">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75</w:t>
            </w:r>
          </w:p>
        </w:tc>
        <w:tc>
          <w:tcPr>
            <w:tcW w:w="347" w:type="pct"/>
            <w:shd w:val="clear" w:color="auto" w:fill="D9E2F3" w:themeFill="accent1" w:themeFillTint="33"/>
            <w:vAlign w:val="center"/>
          </w:tcPr>
          <w:p w14:paraId="3446BD83">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63</w:t>
            </w:r>
          </w:p>
        </w:tc>
        <w:tc>
          <w:tcPr>
            <w:tcW w:w="347" w:type="pct"/>
            <w:shd w:val="clear" w:color="auto" w:fill="D9E2F3" w:themeFill="accent1" w:themeFillTint="33"/>
            <w:vAlign w:val="center"/>
          </w:tcPr>
          <w:p w14:paraId="18E12A93">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53</w:t>
            </w:r>
          </w:p>
        </w:tc>
        <w:tc>
          <w:tcPr>
            <w:tcW w:w="347" w:type="pct"/>
            <w:shd w:val="clear" w:color="auto" w:fill="D9E2F3" w:themeFill="accent1" w:themeFillTint="33"/>
            <w:vAlign w:val="center"/>
          </w:tcPr>
          <w:p w14:paraId="112B1708">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37.5</w:t>
            </w:r>
          </w:p>
        </w:tc>
        <w:tc>
          <w:tcPr>
            <w:tcW w:w="347" w:type="pct"/>
            <w:shd w:val="clear" w:color="auto" w:fill="D9E2F3" w:themeFill="accent1" w:themeFillTint="33"/>
            <w:vAlign w:val="center"/>
          </w:tcPr>
          <w:p w14:paraId="3D1F4847">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31.5</w:t>
            </w:r>
          </w:p>
        </w:tc>
        <w:tc>
          <w:tcPr>
            <w:tcW w:w="347" w:type="pct"/>
            <w:shd w:val="clear" w:color="auto" w:fill="D9E2F3" w:themeFill="accent1" w:themeFillTint="33"/>
            <w:vAlign w:val="center"/>
          </w:tcPr>
          <w:p w14:paraId="7424925F">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26.5</w:t>
            </w:r>
          </w:p>
        </w:tc>
        <w:tc>
          <w:tcPr>
            <w:tcW w:w="348" w:type="pct"/>
            <w:shd w:val="clear" w:color="auto" w:fill="D9E2F3" w:themeFill="accent1" w:themeFillTint="33"/>
            <w:vAlign w:val="center"/>
          </w:tcPr>
          <w:p w14:paraId="3A104AC3">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19</w:t>
            </w:r>
          </w:p>
        </w:tc>
        <w:tc>
          <w:tcPr>
            <w:tcW w:w="348" w:type="pct"/>
            <w:shd w:val="clear" w:color="auto" w:fill="D9E2F3" w:themeFill="accent1" w:themeFillTint="33"/>
            <w:vAlign w:val="center"/>
          </w:tcPr>
          <w:p w14:paraId="1E10E53F">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13.2</w:t>
            </w:r>
          </w:p>
        </w:tc>
        <w:tc>
          <w:tcPr>
            <w:tcW w:w="348" w:type="pct"/>
            <w:shd w:val="clear" w:color="auto" w:fill="D9E2F3" w:themeFill="accent1" w:themeFillTint="33"/>
            <w:vAlign w:val="center"/>
          </w:tcPr>
          <w:p w14:paraId="09376387">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9.5</w:t>
            </w:r>
          </w:p>
        </w:tc>
        <w:tc>
          <w:tcPr>
            <w:tcW w:w="348" w:type="pct"/>
            <w:shd w:val="clear" w:color="auto" w:fill="D9E2F3" w:themeFill="accent1" w:themeFillTint="33"/>
            <w:vAlign w:val="center"/>
          </w:tcPr>
          <w:p w14:paraId="2CF1EA04">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4.75</w:t>
            </w:r>
          </w:p>
        </w:tc>
        <w:tc>
          <w:tcPr>
            <w:tcW w:w="321" w:type="pct"/>
            <w:shd w:val="clear" w:color="auto" w:fill="D9E2F3" w:themeFill="accent1" w:themeFillTint="33"/>
            <w:vAlign w:val="center"/>
          </w:tcPr>
          <w:p w14:paraId="57AB693A">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2.36</w:t>
            </w:r>
          </w:p>
        </w:tc>
        <w:tc>
          <w:tcPr>
            <w:tcW w:w="265" w:type="pct"/>
            <w:shd w:val="clear" w:color="auto" w:fill="D9E2F3" w:themeFill="accent1" w:themeFillTint="33"/>
            <w:vAlign w:val="center"/>
          </w:tcPr>
          <w:p w14:paraId="65F0C4BD">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0.6</w:t>
            </w:r>
          </w:p>
        </w:tc>
      </w:tr>
      <w:tr w14:paraId="7941D54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7" w:type="pct"/>
            <w:vAlign w:val="center"/>
          </w:tcPr>
          <w:p w14:paraId="1DFBAD6C">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S1</w:t>
            </w:r>
          </w:p>
        </w:tc>
        <w:tc>
          <w:tcPr>
            <w:tcW w:w="404" w:type="pct"/>
            <w:vAlign w:val="center"/>
          </w:tcPr>
          <w:p w14:paraId="5B38CB85">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40～75</w:t>
            </w:r>
          </w:p>
        </w:tc>
        <w:tc>
          <w:tcPr>
            <w:tcW w:w="267" w:type="pct"/>
            <w:vAlign w:val="center"/>
          </w:tcPr>
          <w:p w14:paraId="2CE48B81">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100</w:t>
            </w:r>
          </w:p>
        </w:tc>
        <w:tc>
          <w:tcPr>
            <w:tcW w:w="348" w:type="pct"/>
            <w:vAlign w:val="center"/>
          </w:tcPr>
          <w:p w14:paraId="56C893B3">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90～100</w:t>
            </w:r>
          </w:p>
        </w:tc>
        <w:tc>
          <w:tcPr>
            <w:tcW w:w="347" w:type="pct"/>
            <w:vAlign w:val="center"/>
          </w:tcPr>
          <w:p w14:paraId="67D730F0">
            <w:pPr>
              <w:widowControl/>
              <w:jc w:val="center"/>
              <w:rPr>
                <w:rFonts w:hint="eastAsia" w:ascii="仿宋" w:hAnsi="仿宋" w:eastAsia="仿宋" w:cs="仿宋_GB2312"/>
                <w:kern w:val="0"/>
                <w:sz w:val="18"/>
                <w:szCs w:val="18"/>
              </w:rPr>
            </w:pPr>
          </w:p>
        </w:tc>
        <w:tc>
          <w:tcPr>
            <w:tcW w:w="347" w:type="pct"/>
            <w:vAlign w:val="center"/>
          </w:tcPr>
          <w:p w14:paraId="457D4B24">
            <w:pPr>
              <w:widowControl/>
              <w:jc w:val="center"/>
              <w:rPr>
                <w:rFonts w:hint="eastAsia" w:ascii="仿宋" w:hAnsi="仿宋" w:eastAsia="仿宋" w:cs="仿宋_GB2312"/>
                <w:kern w:val="0"/>
                <w:sz w:val="18"/>
                <w:szCs w:val="18"/>
              </w:rPr>
            </w:pPr>
          </w:p>
        </w:tc>
        <w:tc>
          <w:tcPr>
            <w:tcW w:w="347" w:type="pct"/>
            <w:vAlign w:val="center"/>
          </w:tcPr>
          <w:p w14:paraId="72B889C1">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0～15</w:t>
            </w:r>
          </w:p>
        </w:tc>
        <w:tc>
          <w:tcPr>
            <w:tcW w:w="347" w:type="pct"/>
            <w:vAlign w:val="center"/>
          </w:tcPr>
          <w:p w14:paraId="2C899D9C">
            <w:pPr>
              <w:widowControl/>
              <w:jc w:val="center"/>
              <w:rPr>
                <w:rFonts w:hint="eastAsia" w:ascii="仿宋" w:hAnsi="仿宋" w:eastAsia="仿宋" w:cs="仿宋_GB2312"/>
                <w:kern w:val="0"/>
                <w:sz w:val="18"/>
                <w:szCs w:val="18"/>
              </w:rPr>
            </w:pPr>
          </w:p>
        </w:tc>
        <w:tc>
          <w:tcPr>
            <w:tcW w:w="347" w:type="pct"/>
            <w:vAlign w:val="center"/>
          </w:tcPr>
          <w:p w14:paraId="3670441C">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0～5</w:t>
            </w:r>
          </w:p>
        </w:tc>
        <w:tc>
          <w:tcPr>
            <w:tcW w:w="348" w:type="pct"/>
            <w:vAlign w:val="center"/>
          </w:tcPr>
          <w:p w14:paraId="0BF1C93B">
            <w:pPr>
              <w:widowControl/>
              <w:jc w:val="center"/>
              <w:rPr>
                <w:rFonts w:hint="eastAsia" w:ascii="仿宋" w:hAnsi="仿宋" w:eastAsia="仿宋" w:cs="仿宋_GB2312"/>
                <w:kern w:val="0"/>
                <w:sz w:val="18"/>
                <w:szCs w:val="18"/>
              </w:rPr>
            </w:pPr>
          </w:p>
        </w:tc>
        <w:tc>
          <w:tcPr>
            <w:tcW w:w="348" w:type="pct"/>
            <w:vAlign w:val="center"/>
          </w:tcPr>
          <w:p w14:paraId="55C194DB">
            <w:pPr>
              <w:widowControl/>
              <w:jc w:val="center"/>
              <w:rPr>
                <w:rFonts w:hint="eastAsia" w:ascii="仿宋" w:hAnsi="仿宋" w:eastAsia="仿宋" w:cs="仿宋_GB2312"/>
                <w:kern w:val="0"/>
                <w:sz w:val="18"/>
                <w:szCs w:val="18"/>
              </w:rPr>
            </w:pPr>
          </w:p>
        </w:tc>
        <w:tc>
          <w:tcPr>
            <w:tcW w:w="348" w:type="pct"/>
            <w:vAlign w:val="center"/>
          </w:tcPr>
          <w:p w14:paraId="7E7866C7">
            <w:pPr>
              <w:widowControl/>
              <w:jc w:val="center"/>
              <w:rPr>
                <w:rFonts w:hint="eastAsia" w:ascii="仿宋" w:hAnsi="仿宋" w:eastAsia="仿宋" w:cs="仿宋_GB2312"/>
                <w:kern w:val="0"/>
                <w:sz w:val="18"/>
                <w:szCs w:val="18"/>
              </w:rPr>
            </w:pPr>
          </w:p>
        </w:tc>
        <w:tc>
          <w:tcPr>
            <w:tcW w:w="348" w:type="pct"/>
            <w:vAlign w:val="center"/>
          </w:tcPr>
          <w:p w14:paraId="6C0BDC99">
            <w:pPr>
              <w:widowControl/>
              <w:jc w:val="center"/>
              <w:rPr>
                <w:rFonts w:hint="eastAsia" w:ascii="仿宋" w:hAnsi="仿宋" w:eastAsia="仿宋" w:cs="仿宋_GB2312"/>
                <w:kern w:val="0"/>
                <w:sz w:val="18"/>
                <w:szCs w:val="18"/>
              </w:rPr>
            </w:pPr>
          </w:p>
        </w:tc>
        <w:tc>
          <w:tcPr>
            <w:tcW w:w="321" w:type="pct"/>
            <w:vAlign w:val="center"/>
          </w:tcPr>
          <w:p w14:paraId="1E1AC09C">
            <w:pPr>
              <w:widowControl/>
              <w:jc w:val="center"/>
              <w:rPr>
                <w:rFonts w:hint="eastAsia" w:ascii="仿宋" w:hAnsi="仿宋" w:eastAsia="仿宋" w:cs="仿宋_GB2312"/>
                <w:kern w:val="0"/>
                <w:sz w:val="18"/>
                <w:szCs w:val="18"/>
              </w:rPr>
            </w:pPr>
          </w:p>
        </w:tc>
        <w:tc>
          <w:tcPr>
            <w:tcW w:w="265" w:type="pct"/>
            <w:vAlign w:val="center"/>
          </w:tcPr>
          <w:p w14:paraId="035BF139">
            <w:pPr>
              <w:widowControl/>
              <w:jc w:val="center"/>
              <w:rPr>
                <w:rFonts w:hint="eastAsia" w:ascii="仿宋" w:hAnsi="仿宋" w:eastAsia="仿宋" w:cs="仿宋_GB2312"/>
                <w:kern w:val="0"/>
                <w:sz w:val="18"/>
                <w:szCs w:val="18"/>
              </w:rPr>
            </w:pPr>
          </w:p>
        </w:tc>
      </w:tr>
      <w:tr w14:paraId="6BD5A72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7" w:type="pct"/>
            <w:vAlign w:val="center"/>
          </w:tcPr>
          <w:p w14:paraId="6DA0AA49">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S2</w:t>
            </w:r>
          </w:p>
        </w:tc>
        <w:tc>
          <w:tcPr>
            <w:tcW w:w="404" w:type="pct"/>
            <w:vAlign w:val="center"/>
          </w:tcPr>
          <w:p w14:paraId="47B19F17">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40～60</w:t>
            </w:r>
          </w:p>
        </w:tc>
        <w:tc>
          <w:tcPr>
            <w:tcW w:w="267" w:type="pct"/>
            <w:vAlign w:val="center"/>
          </w:tcPr>
          <w:p w14:paraId="043116D7">
            <w:pPr>
              <w:widowControl/>
              <w:jc w:val="center"/>
              <w:rPr>
                <w:rFonts w:hint="eastAsia" w:ascii="仿宋" w:hAnsi="仿宋" w:eastAsia="仿宋" w:cs="仿宋_GB2312"/>
                <w:kern w:val="0"/>
                <w:sz w:val="18"/>
                <w:szCs w:val="18"/>
              </w:rPr>
            </w:pPr>
          </w:p>
        </w:tc>
        <w:tc>
          <w:tcPr>
            <w:tcW w:w="348" w:type="pct"/>
            <w:vAlign w:val="center"/>
          </w:tcPr>
          <w:p w14:paraId="6A45F5A4">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100</w:t>
            </w:r>
          </w:p>
        </w:tc>
        <w:tc>
          <w:tcPr>
            <w:tcW w:w="347" w:type="pct"/>
            <w:vAlign w:val="center"/>
          </w:tcPr>
          <w:p w14:paraId="18ED95FB">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90～100</w:t>
            </w:r>
          </w:p>
        </w:tc>
        <w:tc>
          <w:tcPr>
            <w:tcW w:w="347" w:type="pct"/>
            <w:vAlign w:val="center"/>
          </w:tcPr>
          <w:p w14:paraId="6D9F8C42">
            <w:pPr>
              <w:widowControl/>
              <w:jc w:val="center"/>
              <w:rPr>
                <w:rFonts w:hint="eastAsia" w:ascii="仿宋" w:hAnsi="仿宋" w:eastAsia="仿宋" w:cs="仿宋_GB2312"/>
                <w:kern w:val="0"/>
                <w:sz w:val="18"/>
                <w:szCs w:val="18"/>
              </w:rPr>
            </w:pPr>
          </w:p>
        </w:tc>
        <w:tc>
          <w:tcPr>
            <w:tcW w:w="347" w:type="pct"/>
            <w:vAlign w:val="center"/>
          </w:tcPr>
          <w:p w14:paraId="1CD4A428">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0～15</w:t>
            </w:r>
          </w:p>
        </w:tc>
        <w:tc>
          <w:tcPr>
            <w:tcW w:w="347" w:type="pct"/>
            <w:vAlign w:val="center"/>
          </w:tcPr>
          <w:p w14:paraId="24AA66D4">
            <w:pPr>
              <w:widowControl/>
              <w:jc w:val="center"/>
              <w:rPr>
                <w:rFonts w:hint="eastAsia" w:ascii="仿宋" w:hAnsi="仿宋" w:eastAsia="仿宋" w:cs="仿宋_GB2312"/>
                <w:kern w:val="0"/>
                <w:sz w:val="18"/>
                <w:szCs w:val="18"/>
              </w:rPr>
            </w:pPr>
          </w:p>
        </w:tc>
        <w:tc>
          <w:tcPr>
            <w:tcW w:w="347" w:type="pct"/>
            <w:vAlign w:val="center"/>
          </w:tcPr>
          <w:p w14:paraId="383793C1">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0～5</w:t>
            </w:r>
          </w:p>
        </w:tc>
        <w:tc>
          <w:tcPr>
            <w:tcW w:w="348" w:type="pct"/>
            <w:vAlign w:val="center"/>
          </w:tcPr>
          <w:p w14:paraId="472C2A8E">
            <w:pPr>
              <w:widowControl/>
              <w:jc w:val="center"/>
              <w:rPr>
                <w:rFonts w:hint="eastAsia" w:ascii="仿宋" w:hAnsi="仿宋" w:eastAsia="仿宋" w:cs="仿宋_GB2312"/>
                <w:kern w:val="0"/>
                <w:sz w:val="18"/>
                <w:szCs w:val="18"/>
              </w:rPr>
            </w:pPr>
          </w:p>
        </w:tc>
        <w:tc>
          <w:tcPr>
            <w:tcW w:w="348" w:type="pct"/>
            <w:vAlign w:val="center"/>
          </w:tcPr>
          <w:p w14:paraId="04696274">
            <w:pPr>
              <w:widowControl/>
              <w:jc w:val="center"/>
              <w:rPr>
                <w:rFonts w:hint="eastAsia" w:ascii="仿宋" w:hAnsi="仿宋" w:eastAsia="仿宋" w:cs="仿宋_GB2312"/>
                <w:kern w:val="0"/>
                <w:sz w:val="18"/>
                <w:szCs w:val="18"/>
              </w:rPr>
            </w:pPr>
          </w:p>
        </w:tc>
        <w:tc>
          <w:tcPr>
            <w:tcW w:w="348" w:type="pct"/>
            <w:vAlign w:val="center"/>
          </w:tcPr>
          <w:p w14:paraId="59F2BFF3">
            <w:pPr>
              <w:widowControl/>
              <w:jc w:val="center"/>
              <w:rPr>
                <w:rFonts w:hint="eastAsia" w:ascii="仿宋" w:hAnsi="仿宋" w:eastAsia="仿宋" w:cs="仿宋_GB2312"/>
                <w:kern w:val="0"/>
                <w:sz w:val="18"/>
                <w:szCs w:val="18"/>
              </w:rPr>
            </w:pPr>
          </w:p>
        </w:tc>
        <w:tc>
          <w:tcPr>
            <w:tcW w:w="348" w:type="pct"/>
            <w:vAlign w:val="center"/>
          </w:tcPr>
          <w:p w14:paraId="50BAB5E0">
            <w:pPr>
              <w:widowControl/>
              <w:jc w:val="center"/>
              <w:rPr>
                <w:rFonts w:hint="eastAsia" w:ascii="仿宋" w:hAnsi="仿宋" w:eastAsia="仿宋" w:cs="仿宋_GB2312"/>
                <w:kern w:val="0"/>
                <w:sz w:val="18"/>
                <w:szCs w:val="18"/>
              </w:rPr>
            </w:pPr>
          </w:p>
        </w:tc>
        <w:tc>
          <w:tcPr>
            <w:tcW w:w="321" w:type="pct"/>
            <w:vAlign w:val="center"/>
          </w:tcPr>
          <w:p w14:paraId="25E04218">
            <w:pPr>
              <w:widowControl/>
              <w:jc w:val="center"/>
              <w:rPr>
                <w:rFonts w:hint="eastAsia" w:ascii="仿宋" w:hAnsi="仿宋" w:eastAsia="仿宋" w:cs="仿宋_GB2312"/>
                <w:kern w:val="0"/>
                <w:sz w:val="18"/>
                <w:szCs w:val="18"/>
              </w:rPr>
            </w:pPr>
          </w:p>
        </w:tc>
        <w:tc>
          <w:tcPr>
            <w:tcW w:w="265" w:type="pct"/>
            <w:vAlign w:val="center"/>
          </w:tcPr>
          <w:p w14:paraId="275465E4">
            <w:pPr>
              <w:widowControl/>
              <w:jc w:val="center"/>
              <w:rPr>
                <w:rFonts w:hint="eastAsia" w:ascii="仿宋" w:hAnsi="仿宋" w:eastAsia="仿宋" w:cs="仿宋_GB2312"/>
                <w:kern w:val="0"/>
                <w:sz w:val="18"/>
                <w:szCs w:val="18"/>
              </w:rPr>
            </w:pPr>
          </w:p>
        </w:tc>
      </w:tr>
      <w:tr w14:paraId="774C74D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7" w:type="pct"/>
            <w:vAlign w:val="center"/>
          </w:tcPr>
          <w:p w14:paraId="7E798BE1">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S3</w:t>
            </w:r>
          </w:p>
        </w:tc>
        <w:tc>
          <w:tcPr>
            <w:tcW w:w="404" w:type="pct"/>
            <w:vAlign w:val="center"/>
          </w:tcPr>
          <w:p w14:paraId="17F8305A">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30～60</w:t>
            </w:r>
          </w:p>
        </w:tc>
        <w:tc>
          <w:tcPr>
            <w:tcW w:w="267" w:type="pct"/>
            <w:vAlign w:val="center"/>
          </w:tcPr>
          <w:p w14:paraId="276398AE">
            <w:pPr>
              <w:widowControl/>
              <w:jc w:val="center"/>
              <w:rPr>
                <w:rFonts w:hint="eastAsia" w:ascii="仿宋" w:hAnsi="仿宋" w:eastAsia="仿宋" w:cs="仿宋_GB2312"/>
                <w:kern w:val="0"/>
                <w:sz w:val="18"/>
                <w:szCs w:val="18"/>
              </w:rPr>
            </w:pPr>
          </w:p>
        </w:tc>
        <w:tc>
          <w:tcPr>
            <w:tcW w:w="348" w:type="pct"/>
            <w:vAlign w:val="center"/>
          </w:tcPr>
          <w:p w14:paraId="32E51697">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100</w:t>
            </w:r>
          </w:p>
        </w:tc>
        <w:tc>
          <w:tcPr>
            <w:tcW w:w="347" w:type="pct"/>
            <w:vAlign w:val="center"/>
          </w:tcPr>
          <w:p w14:paraId="19A06E5B">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90～100</w:t>
            </w:r>
          </w:p>
        </w:tc>
        <w:tc>
          <w:tcPr>
            <w:tcW w:w="347" w:type="pct"/>
            <w:vAlign w:val="center"/>
          </w:tcPr>
          <w:p w14:paraId="3AB6682F">
            <w:pPr>
              <w:widowControl/>
              <w:jc w:val="center"/>
              <w:rPr>
                <w:rFonts w:hint="eastAsia" w:ascii="仿宋" w:hAnsi="仿宋" w:eastAsia="仿宋" w:cs="仿宋_GB2312"/>
                <w:kern w:val="0"/>
                <w:sz w:val="18"/>
                <w:szCs w:val="18"/>
              </w:rPr>
            </w:pPr>
          </w:p>
        </w:tc>
        <w:tc>
          <w:tcPr>
            <w:tcW w:w="347" w:type="pct"/>
            <w:vAlign w:val="center"/>
          </w:tcPr>
          <w:p w14:paraId="02C7A5B9">
            <w:pPr>
              <w:widowControl/>
              <w:jc w:val="center"/>
              <w:rPr>
                <w:rFonts w:hint="eastAsia" w:ascii="仿宋" w:hAnsi="仿宋" w:eastAsia="仿宋" w:cs="仿宋_GB2312"/>
                <w:kern w:val="0"/>
                <w:sz w:val="18"/>
                <w:szCs w:val="18"/>
              </w:rPr>
            </w:pPr>
          </w:p>
        </w:tc>
        <w:tc>
          <w:tcPr>
            <w:tcW w:w="347" w:type="pct"/>
            <w:vAlign w:val="center"/>
          </w:tcPr>
          <w:p w14:paraId="402D6B18">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0～15</w:t>
            </w:r>
          </w:p>
        </w:tc>
        <w:tc>
          <w:tcPr>
            <w:tcW w:w="347" w:type="pct"/>
            <w:vAlign w:val="center"/>
          </w:tcPr>
          <w:p w14:paraId="29725D1A">
            <w:pPr>
              <w:widowControl/>
              <w:jc w:val="center"/>
              <w:rPr>
                <w:rFonts w:hint="eastAsia" w:ascii="仿宋" w:hAnsi="仿宋" w:eastAsia="仿宋" w:cs="仿宋_GB2312"/>
                <w:kern w:val="0"/>
                <w:sz w:val="18"/>
                <w:szCs w:val="18"/>
              </w:rPr>
            </w:pPr>
          </w:p>
        </w:tc>
        <w:tc>
          <w:tcPr>
            <w:tcW w:w="348" w:type="pct"/>
            <w:vAlign w:val="center"/>
          </w:tcPr>
          <w:p w14:paraId="236A6FB6">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0～5</w:t>
            </w:r>
          </w:p>
        </w:tc>
        <w:tc>
          <w:tcPr>
            <w:tcW w:w="348" w:type="pct"/>
            <w:vAlign w:val="center"/>
          </w:tcPr>
          <w:p w14:paraId="454C549C">
            <w:pPr>
              <w:widowControl/>
              <w:jc w:val="center"/>
              <w:rPr>
                <w:rFonts w:hint="eastAsia" w:ascii="仿宋" w:hAnsi="仿宋" w:eastAsia="仿宋" w:cs="仿宋_GB2312"/>
                <w:kern w:val="0"/>
                <w:sz w:val="18"/>
                <w:szCs w:val="18"/>
              </w:rPr>
            </w:pPr>
          </w:p>
        </w:tc>
        <w:tc>
          <w:tcPr>
            <w:tcW w:w="348" w:type="pct"/>
            <w:vAlign w:val="center"/>
          </w:tcPr>
          <w:p w14:paraId="1C56C70E">
            <w:pPr>
              <w:widowControl/>
              <w:jc w:val="center"/>
              <w:rPr>
                <w:rFonts w:hint="eastAsia" w:ascii="仿宋" w:hAnsi="仿宋" w:eastAsia="仿宋" w:cs="仿宋_GB2312"/>
                <w:kern w:val="0"/>
                <w:sz w:val="18"/>
                <w:szCs w:val="18"/>
              </w:rPr>
            </w:pPr>
          </w:p>
        </w:tc>
        <w:tc>
          <w:tcPr>
            <w:tcW w:w="348" w:type="pct"/>
            <w:vAlign w:val="center"/>
          </w:tcPr>
          <w:p w14:paraId="481F2A85">
            <w:pPr>
              <w:widowControl/>
              <w:jc w:val="center"/>
              <w:rPr>
                <w:rFonts w:hint="eastAsia" w:ascii="仿宋" w:hAnsi="仿宋" w:eastAsia="仿宋" w:cs="仿宋_GB2312"/>
                <w:kern w:val="0"/>
                <w:sz w:val="18"/>
                <w:szCs w:val="18"/>
              </w:rPr>
            </w:pPr>
          </w:p>
        </w:tc>
        <w:tc>
          <w:tcPr>
            <w:tcW w:w="321" w:type="pct"/>
            <w:vAlign w:val="center"/>
          </w:tcPr>
          <w:p w14:paraId="6EAF0043">
            <w:pPr>
              <w:widowControl/>
              <w:jc w:val="center"/>
              <w:rPr>
                <w:rFonts w:hint="eastAsia" w:ascii="仿宋" w:hAnsi="仿宋" w:eastAsia="仿宋" w:cs="仿宋_GB2312"/>
                <w:kern w:val="0"/>
                <w:sz w:val="18"/>
                <w:szCs w:val="18"/>
              </w:rPr>
            </w:pPr>
          </w:p>
        </w:tc>
        <w:tc>
          <w:tcPr>
            <w:tcW w:w="265" w:type="pct"/>
            <w:vAlign w:val="center"/>
          </w:tcPr>
          <w:p w14:paraId="4AAA0346">
            <w:pPr>
              <w:widowControl/>
              <w:jc w:val="center"/>
              <w:rPr>
                <w:rFonts w:hint="eastAsia" w:ascii="仿宋" w:hAnsi="仿宋" w:eastAsia="仿宋" w:cs="仿宋_GB2312"/>
                <w:kern w:val="0"/>
                <w:sz w:val="18"/>
                <w:szCs w:val="18"/>
              </w:rPr>
            </w:pPr>
          </w:p>
        </w:tc>
      </w:tr>
      <w:tr w14:paraId="5E3802C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7" w:type="pct"/>
            <w:vAlign w:val="center"/>
          </w:tcPr>
          <w:p w14:paraId="4B2C135B">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S4</w:t>
            </w:r>
          </w:p>
        </w:tc>
        <w:tc>
          <w:tcPr>
            <w:tcW w:w="404" w:type="pct"/>
            <w:vAlign w:val="center"/>
          </w:tcPr>
          <w:p w14:paraId="74EF7893">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25～50</w:t>
            </w:r>
          </w:p>
        </w:tc>
        <w:tc>
          <w:tcPr>
            <w:tcW w:w="267" w:type="pct"/>
            <w:vAlign w:val="center"/>
          </w:tcPr>
          <w:p w14:paraId="21F19C89">
            <w:pPr>
              <w:widowControl/>
              <w:jc w:val="center"/>
              <w:rPr>
                <w:rFonts w:hint="eastAsia" w:ascii="仿宋" w:hAnsi="仿宋" w:eastAsia="仿宋" w:cs="仿宋_GB2312"/>
                <w:kern w:val="0"/>
                <w:sz w:val="18"/>
                <w:szCs w:val="18"/>
              </w:rPr>
            </w:pPr>
          </w:p>
        </w:tc>
        <w:tc>
          <w:tcPr>
            <w:tcW w:w="348" w:type="pct"/>
            <w:vAlign w:val="center"/>
          </w:tcPr>
          <w:p w14:paraId="4D0EF46F">
            <w:pPr>
              <w:widowControl/>
              <w:jc w:val="center"/>
              <w:rPr>
                <w:rFonts w:hint="eastAsia" w:ascii="仿宋" w:hAnsi="仿宋" w:eastAsia="仿宋" w:cs="仿宋_GB2312"/>
                <w:kern w:val="0"/>
                <w:sz w:val="18"/>
                <w:szCs w:val="18"/>
              </w:rPr>
            </w:pPr>
          </w:p>
        </w:tc>
        <w:tc>
          <w:tcPr>
            <w:tcW w:w="347" w:type="pct"/>
            <w:vAlign w:val="center"/>
          </w:tcPr>
          <w:p w14:paraId="51C416CC">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100</w:t>
            </w:r>
          </w:p>
        </w:tc>
        <w:tc>
          <w:tcPr>
            <w:tcW w:w="347" w:type="pct"/>
            <w:vAlign w:val="center"/>
          </w:tcPr>
          <w:p w14:paraId="6AAB6D18">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90～100</w:t>
            </w:r>
          </w:p>
        </w:tc>
        <w:tc>
          <w:tcPr>
            <w:tcW w:w="347" w:type="pct"/>
            <w:vAlign w:val="center"/>
          </w:tcPr>
          <w:p w14:paraId="4D851B84">
            <w:pPr>
              <w:widowControl/>
              <w:jc w:val="center"/>
              <w:rPr>
                <w:rFonts w:hint="eastAsia" w:ascii="仿宋" w:hAnsi="仿宋" w:eastAsia="仿宋" w:cs="仿宋_GB2312"/>
                <w:kern w:val="0"/>
                <w:sz w:val="18"/>
                <w:szCs w:val="18"/>
              </w:rPr>
            </w:pPr>
          </w:p>
        </w:tc>
        <w:tc>
          <w:tcPr>
            <w:tcW w:w="347" w:type="pct"/>
            <w:vAlign w:val="center"/>
          </w:tcPr>
          <w:p w14:paraId="067D8314">
            <w:pPr>
              <w:widowControl/>
              <w:jc w:val="center"/>
              <w:rPr>
                <w:rFonts w:hint="eastAsia" w:ascii="仿宋" w:hAnsi="仿宋" w:eastAsia="仿宋" w:cs="仿宋_GB2312"/>
                <w:kern w:val="0"/>
                <w:sz w:val="18"/>
                <w:szCs w:val="18"/>
              </w:rPr>
            </w:pPr>
          </w:p>
        </w:tc>
        <w:tc>
          <w:tcPr>
            <w:tcW w:w="347" w:type="pct"/>
            <w:vAlign w:val="center"/>
          </w:tcPr>
          <w:p w14:paraId="181A4DDD">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0～15</w:t>
            </w:r>
          </w:p>
        </w:tc>
        <w:tc>
          <w:tcPr>
            <w:tcW w:w="348" w:type="pct"/>
            <w:vAlign w:val="center"/>
          </w:tcPr>
          <w:p w14:paraId="4429E895">
            <w:pPr>
              <w:widowControl/>
              <w:jc w:val="center"/>
              <w:rPr>
                <w:rFonts w:hint="eastAsia" w:ascii="仿宋" w:hAnsi="仿宋" w:eastAsia="仿宋" w:cs="仿宋_GB2312"/>
                <w:kern w:val="0"/>
                <w:sz w:val="18"/>
                <w:szCs w:val="18"/>
              </w:rPr>
            </w:pPr>
          </w:p>
        </w:tc>
        <w:tc>
          <w:tcPr>
            <w:tcW w:w="348" w:type="pct"/>
            <w:vAlign w:val="center"/>
          </w:tcPr>
          <w:p w14:paraId="16CC790B">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0～5</w:t>
            </w:r>
          </w:p>
        </w:tc>
        <w:tc>
          <w:tcPr>
            <w:tcW w:w="348" w:type="pct"/>
            <w:vAlign w:val="center"/>
          </w:tcPr>
          <w:p w14:paraId="3D4C5777">
            <w:pPr>
              <w:widowControl/>
              <w:jc w:val="center"/>
              <w:rPr>
                <w:rFonts w:hint="eastAsia" w:ascii="仿宋" w:hAnsi="仿宋" w:eastAsia="仿宋" w:cs="仿宋_GB2312"/>
                <w:kern w:val="0"/>
                <w:sz w:val="18"/>
                <w:szCs w:val="18"/>
              </w:rPr>
            </w:pPr>
          </w:p>
        </w:tc>
        <w:tc>
          <w:tcPr>
            <w:tcW w:w="348" w:type="pct"/>
            <w:vAlign w:val="center"/>
          </w:tcPr>
          <w:p w14:paraId="34C43A1C">
            <w:pPr>
              <w:widowControl/>
              <w:jc w:val="center"/>
              <w:rPr>
                <w:rFonts w:hint="eastAsia" w:ascii="仿宋" w:hAnsi="仿宋" w:eastAsia="仿宋" w:cs="仿宋_GB2312"/>
                <w:kern w:val="0"/>
                <w:sz w:val="18"/>
                <w:szCs w:val="18"/>
              </w:rPr>
            </w:pPr>
          </w:p>
        </w:tc>
        <w:tc>
          <w:tcPr>
            <w:tcW w:w="321" w:type="pct"/>
            <w:vAlign w:val="center"/>
          </w:tcPr>
          <w:p w14:paraId="66F621C1">
            <w:pPr>
              <w:widowControl/>
              <w:jc w:val="center"/>
              <w:rPr>
                <w:rFonts w:hint="eastAsia" w:ascii="仿宋" w:hAnsi="仿宋" w:eastAsia="仿宋" w:cs="仿宋_GB2312"/>
                <w:kern w:val="0"/>
                <w:sz w:val="18"/>
                <w:szCs w:val="18"/>
              </w:rPr>
            </w:pPr>
          </w:p>
        </w:tc>
        <w:tc>
          <w:tcPr>
            <w:tcW w:w="265" w:type="pct"/>
            <w:vAlign w:val="center"/>
          </w:tcPr>
          <w:p w14:paraId="0B79E44D">
            <w:pPr>
              <w:widowControl/>
              <w:jc w:val="center"/>
              <w:rPr>
                <w:rFonts w:hint="eastAsia" w:ascii="仿宋" w:hAnsi="仿宋" w:eastAsia="仿宋" w:cs="仿宋_GB2312"/>
                <w:kern w:val="0"/>
                <w:sz w:val="18"/>
                <w:szCs w:val="18"/>
              </w:rPr>
            </w:pPr>
          </w:p>
        </w:tc>
      </w:tr>
      <w:tr w14:paraId="5C6B87A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7" w:type="pct"/>
            <w:vAlign w:val="center"/>
          </w:tcPr>
          <w:p w14:paraId="25CED3CD">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S5</w:t>
            </w:r>
          </w:p>
        </w:tc>
        <w:tc>
          <w:tcPr>
            <w:tcW w:w="404" w:type="pct"/>
            <w:vAlign w:val="center"/>
          </w:tcPr>
          <w:p w14:paraId="0AA0149A">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20～40</w:t>
            </w:r>
          </w:p>
        </w:tc>
        <w:tc>
          <w:tcPr>
            <w:tcW w:w="267" w:type="pct"/>
            <w:vAlign w:val="center"/>
          </w:tcPr>
          <w:p w14:paraId="3A43031B">
            <w:pPr>
              <w:widowControl/>
              <w:jc w:val="center"/>
              <w:rPr>
                <w:rFonts w:hint="eastAsia" w:ascii="仿宋" w:hAnsi="仿宋" w:eastAsia="仿宋" w:cs="仿宋_GB2312"/>
                <w:kern w:val="0"/>
                <w:sz w:val="18"/>
                <w:szCs w:val="18"/>
              </w:rPr>
            </w:pPr>
          </w:p>
        </w:tc>
        <w:tc>
          <w:tcPr>
            <w:tcW w:w="348" w:type="pct"/>
            <w:vAlign w:val="center"/>
          </w:tcPr>
          <w:p w14:paraId="37DAEE43">
            <w:pPr>
              <w:widowControl/>
              <w:jc w:val="center"/>
              <w:rPr>
                <w:rFonts w:hint="eastAsia" w:ascii="仿宋" w:hAnsi="仿宋" w:eastAsia="仿宋" w:cs="仿宋_GB2312"/>
                <w:kern w:val="0"/>
                <w:sz w:val="18"/>
                <w:szCs w:val="18"/>
              </w:rPr>
            </w:pPr>
          </w:p>
        </w:tc>
        <w:tc>
          <w:tcPr>
            <w:tcW w:w="347" w:type="pct"/>
            <w:vAlign w:val="center"/>
          </w:tcPr>
          <w:p w14:paraId="64F356CE">
            <w:pPr>
              <w:widowControl/>
              <w:jc w:val="center"/>
              <w:rPr>
                <w:rFonts w:hint="eastAsia" w:ascii="仿宋" w:hAnsi="仿宋" w:eastAsia="仿宋" w:cs="仿宋_GB2312"/>
                <w:kern w:val="0"/>
                <w:sz w:val="18"/>
                <w:szCs w:val="18"/>
              </w:rPr>
            </w:pPr>
          </w:p>
        </w:tc>
        <w:tc>
          <w:tcPr>
            <w:tcW w:w="347" w:type="pct"/>
            <w:vAlign w:val="center"/>
          </w:tcPr>
          <w:p w14:paraId="66560E33">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100</w:t>
            </w:r>
          </w:p>
        </w:tc>
        <w:tc>
          <w:tcPr>
            <w:tcW w:w="347" w:type="pct"/>
            <w:vAlign w:val="center"/>
          </w:tcPr>
          <w:p w14:paraId="0E6BB3EA">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90～100</w:t>
            </w:r>
          </w:p>
        </w:tc>
        <w:tc>
          <w:tcPr>
            <w:tcW w:w="347" w:type="pct"/>
            <w:vAlign w:val="center"/>
          </w:tcPr>
          <w:p w14:paraId="54E1D560">
            <w:pPr>
              <w:widowControl/>
              <w:jc w:val="center"/>
              <w:rPr>
                <w:rFonts w:hint="eastAsia" w:ascii="仿宋" w:hAnsi="仿宋" w:eastAsia="仿宋" w:cs="仿宋_GB2312"/>
                <w:kern w:val="0"/>
                <w:sz w:val="18"/>
                <w:szCs w:val="18"/>
              </w:rPr>
            </w:pPr>
          </w:p>
        </w:tc>
        <w:tc>
          <w:tcPr>
            <w:tcW w:w="347" w:type="pct"/>
            <w:vAlign w:val="center"/>
          </w:tcPr>
          <w:p w14:paraId="76C394A5">
            <w:pPr>
              <w:widowControl/>
              <w:jc w:val="center"/>
              <w:rPr>
                <w:rFonts w:hint="eastAsia" w:ascii="仿宋" w:hAnsi="仿宋" w:eastAsia="仿宋" w:cs="仿宋_GB2312"/>
                <w:kern w:val="0"/>
                <w:sz w:val="18"/>
                <w:szCs w:val="18"/>
              </w:rPr>
            </w:pPr>
          </w:p>
        </w:tc>
        <w:tc>
          <w:tcPr>
            <w:tcW w:w="348" w:type="pct"/>
            <w:vAlign w:val="center"/>
          </w:tcPr>
          <w:p w14:paraId="482A76CD">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0～15</w:t>
            </w:r>
          </w:p>
        </w:tc>
        <w:tc>
          <w:tcPr>
            <w:tcW w:w="348" w:type="pct"/>
            <w:vAlign w:val="center"/>
          </w:tcPr>
          <w:p w14:paraId="201C6FDD">
            <w:pPr>
              <w:widowControl/>
              <w:jc w:val="center"/>
              <w:rPr>
                <w:rFonts w:hint="eastAsia" w:ascii="仿宋" w:hAnsi="仿宋" w:eastAsia="仿宋" w:cs="仿宋_GB2312"/>
                <w:kern w:val="0"/>
                <w:sz w:val="18"/>
                <w:szCs w:val="18"/>
              </w:rPr>
            </w:pPr>
          </w:p>
        </w:tc>
        <w:tc>
          <w:tcPr>
            <w:tcW w:w="348" w:type="pct"/>
            <w:vAlign w:val="center"/>
          </w:tcPr>
          <w:p w14:paraId="7DFC3F82">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0～5</w:t>
            </w:r>
          </w:p>
        </w:tc>
        <w:tc>
          <w:tcPr>
            <w:tcW w:w="348" w:type="pct"/>
            <w:vAlign w:val="center"/>
          </w:tcPr>
          <w:p w14:paraId="511D5057">
            <w:pPr>
              <w:widowControl/>
              <w:jc w:val="center"/>
              <w:rPr>
                <w:rFonts w:hint="eastAsia" w:ascii="仿宋" w:hAnsi="仿宋" w:eastAsia="仿宋" w:cs="仿宋_GB2312"/>
                <w:kern w:val="0"/>
                <w:sz w:val="18"/>
                <w:szCs w:val="18"/>
              </w:rPr>
            </w:pPr>
          </w:p>
        </w:tc>
        <w:tc>
          <w:tcPr>
            <w:tcW w:w="321" w:type="pct"/>
            <w:vAlign w:val="center"/>
          </w:tcPr>
          <w:p w14:paraId="6CA00C05">
            <w:pPr>
              <w:widowControl/>
              <w:jc w:val="center"/>
              <w:rPr>
                <w:rFonts w:hint="eastAsia" w:ascii="仿宋" w:hAnsi="仿宋" w:eastAsia="仿宋" w:cs="仿宋_GB2312"/>
                <w:kern w:val="0"/>
                <w:sz w:val="18"/>
                <w:szCs w:val="18"/>
              </w:rPr>
            </w:pPr>
          </w:p>
        </w:tc>
        <w:tc>
          <w:tcPr>
            <w:tcW w:w="265" w:type="pct"/>
            <w:vAlign w:val="center"/>
          </w:tcPr>
          <w:p w14:paraId="52FA03AB">
            <w:pPr>
              <w:widowControl/>
              <w:jc w:val="center"/>
              <w:rPr>
                <w:rFonts w:hint="eastAsia" w:ascii="仿宋" w:hAnsi="仿宋" w:eastAsia="仿宋" w:cs="仿宋_GB2312"/>
                <w:kern w:val="0"/>
                <w:sz w:val="18"/>
                <w:szCs w:val="18"/>
              </w:rPr>
            </w:pPr>
          </w:p>
        </w:tc>
      </w:tr>
      <w:tr w14:paraId="0AC6856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7" w:type="pct"/>
            <w:vAlign w:val="center"/>
          </w:tcPr>
          <w:p w14:paraId="24408F14">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S6</w:t>
            </w:r>
          </w:p>
        </w:tc>
        <w:tc>
          <w:tcPr>
            <w:tcW w:w="404" w:type="pct"/>
            <w:vAlign w:val="center"/>
          </w:tcPr>
          <w:p w14:paraId="5BBDB194">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15～30</w:t>
            </w:r>
          </w:p>
        </w:tc>
        <w:tc>
          <w:tcPr>
            <w:tcW w:w="267" w:type="pct"/>
            <w:vAlign w:val="center"/>
          </w:tcPr>
          <w:p w14:paraId="17526744">
            <w:pPr>
              <w:widowControl/>
              <w:jc w:val="center"/>
              <w:rPr>
                <w:rFonts w:hint="eastAsia" w:ascii="仿宋" w:hAnsi="仿宋" w:eastAsia="仿宋" w:cs="仿宋_GB2312"/>
                <w:kern w:val="0"/>
                <w:sz w:val="18"/>
                <w:szCs w:val="18"/>
              </w:rPr>
            </w:pPr>
          </w:p>
        </w:tc>
        <w:tc>
          <w:tcPr>
            <w:tcW w:w="348" w:type="pct"/>
            <w:vAlign w:val="center"/>
          </w:tcPr>
          <w:p w14:paraId="4F504FC7">
            <w:pPr>
              <w:widowControl/>
              <w:jc w:val="center"/>
              <w:rPr>
                <w:rFonts w:hint="eastAsia" w:ascii="仿宋" w:hAnsi="仿宋" w:eastAsia="仿宋" w:cs="仿宋_GB2312"/>
                <w:kern w:val="0"/>
                <w:sz w:val="18"/>
                <w:szCs w:val="18"/>
              </w:rPr>
            </w:pPr>
          </w:p>
        </w:tc>
        <w:tc>
          <w:tcPr>
            <w:tcW w:w="347" w:type="pct"/>
            <w:vAlign w:val="center"/>
          </w:tcPr>
          <w:p w14:paraId="57116859">
            <w:pPr>
              <w:widowControl/>
              <w:jc w:val="center"/>
              <w:rPr>
                <w:rFonts w:hint="eastAsia" w:ascii="仿宋" w:hAnsi="仿宋" w:eastAsia="仿宋" w:cs="仿宋_GB2312"/>
                <w:kern w:val="0"/>
                <w:sz w:val="18"/>
                <w:szCs w:val="18"/>
              </w:rPr>
            </w:pPr>
          </w:p>
        </w:tc>
        <w:tc>
          <w:tcPr>
            <w:tcW w:w="347" w:type="pct"/>
            <w:vAlign w:val="center"/>
          </w:tcPr>
          <w:p w14:paraId="51DCFD1E">
            <w:pPr>
              <w:widowControl/>
              <w:jc w:val="center"/>
              <w:rPr>
                <w:rFonts w:hint="eastAsia" w:ascii="仿宋" w:hAnsi="仿宋" w:eastAsia="仿宋" w:cs="仿宋_GB2312"/>
                <w:kern w:val="0"/>
                <w:sz w:val="18"/>
                <w:szCs w:val="18"/>
              </w:rPr>
            </w:pPr>
          </w:p>
        </w:tc>
        <w:tc>
          <w:tcPr>
            <w:tcW w:w="347" w:type="pct"/>
            <w:vAlign w:val="center"/>
          </w:tcPr>
          <w:p w14:paraId="25E7391F">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100</w:t>
            </w:r>
          </w:p>
        </w:tc>
        <w:tc>
          <w:tcPr>
            <w:tcW w:w="347" w:type="pct"/>
            <w:vAlign w:val="center"/>
          </w:tcPr>
          <w:p w14:paraId="32873035">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90～100</w:t>
            </w:r>
          </w:p>
        </w:tc>
        <w:tc>
          <w:tcPr>
            <w:tcW w:w="347" w:type="pct"/>
            <w:vAlign w:val="center"/>
          </w:tcPr>
          <w:p w14:paraId="075121D9">
            <w:pPr>
              <w:widowControl/>
              <w:jc w:val="center"/>
              <w:rPr>
                <w:rFonts w:hint="eastAsia" w:ascii="仿宋" w:hAnsi="仿宋" w:eastAsia="仿宋" w:cs="仿宋_GB2312"/>
                <w:kern w:val="0"/>
                <w:sz w:val="18"/>
                <w:szCs w:val="18"/>
              </w:rPr>
            </w:pPr>
          </w:p>
        </w:tc>
        <w:tc>
          <w:tcPr>
            <w:tcW w:w="348" w:type="pct"/>
            <w:vAlign w:val="center"/>
          </w:tcPr>
          <w:p w14:paraId="4E8C24F9">
            <w:pPr>
              <w:widowControl/>
              <w:jc w:val="center"/>
              <w:rPr>
                <w:rFonts w:hint="eastAsia" w:ascii="仿宋" w:hAnsi="仿宋" w:eastAsia="仿宋" w:cs="仿宋_GB2312"/>
                <w:kern w:val="0"/>
                <w:sz w:val="18"/>
                <w:szCs w:val="18"/>
              </w:rPr>
            </w:pPr>
          </w:p>
        </w:tc>
        <w:tc>
          <w:tcPr>
            <w:tcW w:w="348" w:type="pct"/>
            <w:vAlign w:val="center"/>
          </w:tcPr>
          <w:p w14:paraId="71734590">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0～15</w:t>
            </w:r>
          </w:p>
        </w:tc>
        <w:tc>
          <w:tcPr>
            <w:tcW w:w="348" w:type="pct"/>
            <w:vAlign w:val="center"/>
          </w:tcPr>
          <w:p w14:paraId="6E408EBC">
            <w:pPr>
              <w:widowControl/>
              <w:jc w:val="center"/>
              <w:rPr>
                <w:rFonts w:hint="eastAsia" w:ascii="仿宋" w:hAnsi="仿宋" w:eastAsia="仿宋" w:cs="仿宋_GB2312"/>
                <w:kern w:val="0"/>
                <w:sz w:val="18"/>
                <w:szCs w:val="18"/>
              </w:rPr>
            </w:pPr>
          </w:p>
        </w:tc>
        <w:tc>
          <w:tcPr>
            <w:tcW w:w="348" w:type="pct"/>
            <w:vAlign w:val="center"/>
          </w:tcPr>
          <w:p w14:paraId="3DB0B204">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0～5</w:t>
            </w:r>
          </w:p>
        </w:tc>
        <w:tc>
          <w:tcPr>
            <w:tcW w:w="321" w:type="pct"/>
            <w:vAlign w:val="center"/>
          </w:tcPr>
          <w:p w14:paraId="3EAA16B3">
            <w:pPr>
              <w:widowControl/>
              <w:jc w:val="center"/>
              <w:rPr>
                <w:rFonts w:hint="eastAsia" w:ascii="仿宋" w:hAnsi="仿宋" w:eastAsia="仿宋" w:cs="仿宋_GB2312"/>
                <w:kern w:val="0"/>
                <w:sz w:val="18"/>
                <w:szCs w:val="18"/>
              </w:rPr>
            </w:pPr>
          </w:p>
        </w:tc>
        <w:tc>
          <w:tcPr>
            <w:tcW w:w="265" w:type="pct"/>
            <w:vAlign w:val="center"/>
          </w:tcPr>
          <w:p w14:paraId="1E35A34D">
            <w:pPr>
              <w:widowControl/>
              <w:jc w:val="center"/>
              <w:rPr>
                <w:rFonts w:hint="eastAsia" w:ascii="仿宋" w:hAnsi="仿宋" w:eastAsia="仿宋" w:cs="仿宋_GB2312"/>
                <w:kern w:val="0"/>
                <w:sz w:val="18"/>
                <w:szCs w:val="18"/>
              </w:rPr>
            </w:pPr>
          </w:p>
        </w:tc>
      </w:tr>
      <w:tr w14:paraId="0DF2CDB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7" w:type="pct"/>
            <w:vAlign w:val="center"/>
          </w:tcPr>
          <w:p w14:paraId="7CF7D438">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S7</w:t>
            </w:r>
          </w:p>
        </w:tc>
        <w:tc>
          <w:tcPr>
            <w:tcW w:w="404" w:type="pct"/>
            <w:vAlign w:val="center"/>
          </w:tcPr>
          <w:p w14:paraId="4A955D75">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10～30</w:t>
            </w:r>
          </w:p>
        </w:tc>
        <w:tc>
          <w:tcPr>
            <w:tcW w:w="267" w:type="pct"/>
            <w:vAlign w:val="center"/>
          </w:tcPr>
          <w:p w14:paraId="5F2F27BF">
            <w:pPr>
              <w:widowControl/>
              <w:jc w:val="center"/>
              <w:rPr>
                <w:rFonts w:hint="eastAsia" w:ascii="仿宋" w:hAnsi="仿宋" w:eastAsia="仿宋" w:cs="仿宋_GB2312"/>
                <w:kern w:val="0"/>
                <w:sz w:val="18"/>
                <w:szCs w:val="18"/>
              </w:rPr>
            </w:pPr>
          </w:p>
        </w:tc>
        <w:tc>
          <w:tcPr>
            <w:tcW w:w="348" w:type="pct"/>
            <w:vAlign w:val="center"/>
          </w:tcPr>
          <w:p w14:paraId="2F14A6D9">
            <w:pPr>
              <w:widowControl/>
              <w:jc w:val="center"/>
              <w:rPr>
                <w:rFonts w:hint="eastAsia" w:ascii="仿宋" w:hAnsi="仿宋" w:eastAsia="仿宋" w:cs="仿宋_GB2312"/>
                <w:kern w:val="0"/>
                <w:sz w:val="18"/>
                <w:szCs w:val="18"/>
              </w:rPr>
            </w:pPr>
          </w:p>
        </w:tc>
        <w:tc>
          <w:tcPr>
            <w:tcW w:w="347" w:type="pct"/>
            <w:vAlign w:val="center"/>
          </w:tcPr>
          <w:p w14:paraId="4651B237">
            <w:pPr>
              <w:widowControl/>
              <w:jc w:val="center"/>
              <w:rPr>
                <w:rFonts w:hint="eastAsia" w:ascii="仿宋" w:hAnsi="仿宋" w:eastAsia="仿宋" w:cs="仿宋_GB2312"/>
                <w:kern w:val="0"/>
                <w:sz w:val="18"/>
                <w:szCs w:val="18"/>
              </w:rPr>
            </w:pPr>
          </w:p>
        </w:tc>
        <w:tc>
          <w:tcPr>
            <w:tcW w:w="347" w:type="pct"/>
            <w:vAlign w:val="center"/>
          </w:tcPr>
          <w:p w14:paraId="472ECA96">
            <w:pPr>
              <w:widowControl/>
              <w:jc w:val="center"/>
              <w:rPr>
                <w:rFonts w:hint="eastAsia" w:ascii="仿宋" w:hAnsi="仿宋" w:eastAsia="仿宋" w:cs="仿宋_GB2312"/>
                <w:kern w:val="0"/>
                <w:sz w:val="18"/>
                <w:szCs w:val="18"/>
              </w:rPr>
            </w:pPr>
          </w:p>
        </w:tc>
        <w:tc>
          <w:tcPr>
            <w:tcW w:w="347" w:type="pct"/>
            <w:vAlign w:val="center"/>
          </w:tcPr>
          <w:p w14:paraId="691EB7D4">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100</w:t>
            </w:r>
          </w:p>
        </w:tc>
        <w:tc>
          <w:tcPr>
            <w:tcW w:w="347" w:type="pct"/>
            <w:vAlign w:val="center"/>
          </w:tcPr>
          <w:p w14:paraId="5A7F29F7">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90～100</w:t>
            </w:r>
          </w:p>
        </w:tc>
        <w:tc>
          <w:tcPr>
            <w:tcW w:w="347" w:type="pct"/>
            <w:vAlign w:val="center"/>
          </w:tcPr>
          <w:p w14:paraId="5B79BC6D">
            <w:pPr>
              <w:widowControl/>
              <w:jc w:val="center"/>
              <w:rPr>
                <w:rFonts w:hint="eastAsia" w:ascii="仿宋" w:hAnsi="仿宋" w:eastAsia="仿宋" w:cs="仿宋_GB2312"/>
                <w:kern w:val="0"/>
                <w:sz w:val="18"/>
                <w:szCs w:val="18"/>
              </w:rPr>
            </w:pPr>
          </w:p>
        </w:tc>
        <w:tc>
          <w:tcPr>
            <w:tcW w:w="348" w:type="pct"/>
            <w:vAlign w:val="center"/>
          </w:tcPr>
          <w:p w14:paraId="683E7750">
            <w:pPr>
              <w:widowControl/>
              <w:jc w:val="center"/>
              <w:rPr>
                <w:rFonts w:hint="eastAsia" w:ascii="仿宋" w:hAnsi="仿宋" w:eastAsia="仿宋" w:cs="仿宋_GB2312"/>
                <w:kern w:val="0"/>
                <w:sz w:val="18"/>
                <w:szCs w:val="18"/>
              </w:rPr>
            </w:pPr>
          </w:p>
        </w:tc>
        <w:tc>
          <w:tcPr>
            <w:tcW w:w="348" w:type="pct"/>
            <w:vAlign w:val="center"/>
          </w:tcPr>
          <w:p w14:paraId="3F743079">
            <w:pPr>
              <w:widowControl/>
              <w:jc w:val="center"/>
              <w:rPr>
                <w:rFonts w:hint="eastAsia" w:ascii="仿宋" w:hAnsi="仿宋" w:eastAsia="仿宋" w:cs="仿宋_GB2312"/>
                <w:kern w:val="0"/>
                <w:sz w:val="18"/>
                <w:szCs w:val="18"/>
              </w:rPr>
            </w:pPr>
          </w:p>
        </w:tc>
        <w:tc>
          <w:tcPr>
            <w:tcW w:w="348" w:type="pct"/>
            <w:vAlign w:val="center"/>
          </w:tcPr>
          <w:p w14:paraId="677467D3">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0～15</w:t>
            </w:r>
          </w:p>
        </w:tc>
        <w:tc>
          <w:tcPr>
            <w:tcW w:w="348" w:type="pct"/>
            <w:vAlign w:val="center"/>
          </w:tcPr>
          <w:p w14:paraId="77BFE9A2">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0～5</w:t>
            </w:r>
          </w:p>
        </w:tc>
        <w:tc>
          <w:tcPr>
            <w:tcW w:w="321" w:type="pct"/>
            <w:vAlign w:val="center"/>
          </w:tcPr>
          <w:p w14:paraId="1872DFD8">
            <w:pPr>
              <w:widowControl/>
              <w:jc w:val="center"/>
              <w:rPr>
                <w:rFonts w:hint="eastAsia" w:ascii="仿宋" w:hAnsi="仿宋" w:eastAsia="仿宋" w:cs="仿宋_GB2312"/>
                <w:kern w:val="0"/>
                <w:sz w:val="18"/>
                <w:szCs w:val="18"/>
              </w:rPr>
            </w:pPr>
          </w:p>
        </w:tc>
        <w:tc>
          <w:tcPr>
            <w:tcW w:w="265" w:type="pct"/>
            <w:vAlign w:val="center"/>
          </w:tcPr>
          <w:p w14:paraId="0A021BD7">
            <w:pPr>
              <w:widowControl/>
              <w:jc w:val="center"/>
              <w:rPr>
                <w:rFonts w:hint="eastAsia" w:ascii="仿宋" w:hAnsi="仿宋" w:eastAsia="仿宋" w:cs="仿宋_GB2312"/>
                <w:kern w:val="0"/>
                <w:sz w:val="18"/>
                <w:szCs w:val="18"/>
              </w:rPr>
            </w:pPr>
          </w:p>
        </w:tc>
      </w:tr>
      <w:tr w14:paraId="00AABFF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7" w:type="pct"/>
            <w:vAlign w:val="center"/>
          </w:tcPr>
          <w:p w14:paraId="36C9B6D3">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S8</w:t>
            </w:r>
          </w:p>
        </w:tc>
        <w:tc>
          <w:tcPr>
            <w:tcW w:w="404" w:type="pct"/>
            <w:vAlign w:val="center"/>
          </w:tcPr>
          <w:p w14:paraId="737786FA">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15～25</w:t>
            </w:r>
          </w:p>
        </w:tc>
        <w:tc>
          <w:tcPr>
            <w:tcW w:w="267" w:type="pct"/>
            <w:vAlign w:val="center"/>
          </w:tcPr>
          <w:p w14:paraId="4B822C37">
            <w:pPr>
              <w:widowControl/>
              <w:jc w:val="center"/>
              <w:rPr>
                <w:rFonts w:hint="eastAsia" w:ascii="仿宋" w:hAnsi="仿宋" w:eastAsia="仿宋" w:cs="仿宋_GB2312"/>
                <w:kern w:val="0"/>
                <w:sz w:val="18"/>
                <w:szCs w:val="18"/>
              </w:rPr>
            </w:pPr>
          </w:p>
        </w:tc>
        <w:tc>
          <w:tcPr>
            <w:tcW w:w="348" w:type="pct"/>
            <w:vAlign w:val="center"/>
          </w:tcPr>
          <w:p w14:paraId="5BE71C83">
            <w:pPr>
              <w:widowControl/>
              <w:jc w:val="center"/>
              <w:rPr>
                <w:rFonts w:hint="eastAsia" w:ascii="仿宋" w:hAnsi="仿宋" w:eastAsia="仿宋" w:cs="仿宋_GB2312"/>
                <w:kern w:val="0"/>
                <w:sz w:val="18"/>
                <w:szCs w:val="18"/>
              </w:rPr>
            </w:pPr>
          </w:p>
        </w:tc>
        <w:tc>
          <w:tcPr>
            <w:tcW w:w="347" w:type="pct"/>
            <w:vAlign w:val="center"/>
          </w:tcPr>
          <w:p w14:paraId="4C3DA1F5">
            <w:pPr>
              <w:widowControl/>
              <w:jc w:val="center"/>
              <w:rPr>
                <w:rFonts w:hint="eastAsia" w:ascii="仿宋" w:hAnsi="仿宋" w:eastAsia="仿宋" w:cs="仿宋_GB2312"/>
                <w:kern w:val="0"/>
                <w:sz w:val="18"/>
                <w:szCs w:val="18"/>
              </w:rPr>
            </w:pPr>
          </w:p>
        </w:tc>
        <w:tc>
          <w:tcPr>
            <w:tcW w:w="347" w:type="pct"/>
            <w:vAlign w:val="center"/>
          </w:tcPr>
          <w:p w14:paraId="737B2212">
            <w:pPr>
              <w:widowControl/>
              <w:jc w:val="center"/>
              <w:rPr>
                <w:rFonts w:hint="eastAsia" w:ascii="仿宋" w:hAnsi="仿宋" w:eastAsia="仿宋" w:cs="仿宋_GB2312"/>
                <w:kern w:val="0"/>
                <w:sz w:val="18"/>
                <w:szCs w:val="18"/>
              </w:rPr>
            </w:pPr>
          </w:p>
        </w:tc>
        <w:tc>
          <w:tcPr>
            <w:tcW w:w="347" w:type="pct"/>
            <w:vAlign w:val="center"/>
          </w:tcPr>
          <w:p w14:paraId="55D70639">
            <w:pPr>
              <w:widowControl/>
              <w:jc w:val="center"/>
              <w:rPr>
                <w:rFonts w:hint="eastAsia" w:ascii="仿宋" w:hAnsi="仿宋" w:eastAsia="仿宋" w:cs="仿宋_GB2312"/>
                <w:kern w:val="0"/>
                <w:sz w:val="18"/>
                <w:szCs w:val="18"/>
              </w:rPr>
            </w:pPr>
          </w:p>
        </w:tc>
        <w:tc>
          <w:tcPr>
            <w:tcW w:w="347" w:type="pct"/>
            <w:vAlign w:val="center"/>
          </w:tcPr>
          <w:p w14:paraId="351691F3">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100</w:t>
            </w:r>
          </w:p>
        </w:tc>
        <w:tc>
          <w:tcPr>
            <w:tcW w:w="347" w:type="pct"/>
            <w:vAlign w:val="center"/>
          </w:tcPr>
          <w:p w14:paraId="3DE9D791">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90～100</w:t>
            </w:r>
          </w:p>
        </w:tc>
        <w:tc>
          <w:tcPr>
            <w:tcW w:w="348" w:type="pct"/>
            <w:vAlign w:val="center"/>
          </w:tcPr>
          <w:p w14:paraId="4EFFA9AB">
            <w:pPr>
              <w:widowControl/>
              <w:jc w:val="center"/>
              <w:rPr>
                <w:rFonts w:hint="eastAsia" w:ascii="仿宋" w:hAnsi="仿宋" w:eastAsia="仿宋" w:cs="仿宋_GB2312"/>
                <w:kern w:val="0"/>
                <w:sz w:val="18"/>
                <w:szCs w:val="18"/>
              </w:rPr>
            </w:pPr>
          </w:p>
        </w:tc>
        <w:tc>
          <w:tcPr>
            <w:tcW w:w="348" w:type="pct"/>
            <w:vAlign w:val="center"/>
          </w:tcPr>
          <w:p w14:paraId="411CF6B6">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0～15</w:t>
            </w:r>
          </w:p>
        </w:tc>
        <w:tc>
          <w:tcPr>
            <w:tcW w:w="348" w:type="pct"/>
            <w:vAlign w:val="center"/>
          </w:tcPr>
          <w:p w14:paraId="0F318C0C">
            <w:pPr>
              <w:widowControl/>
              <w:jc w:val="center"/>
              <w:rPr>
                <w:rFonts w:hint="eastAsia" w:ascii="仿宋" w:hAnsi="仿宋" w:eastAsia="仿宋" w:cs="仿宋_GB2312"/>
                <w:kern w:val="0"/>
                <w:sz w:val="18"/>
                <w:szCs w:val="18"/>
              </w:rPr>
            </w:pPr>
          </w:p>
        </w:tc>
        <w:tc>
          <w:tcPr>
            <w:tcW w:w="348" w:type="pct"/>
            <w:vAlign w:val="center"/>
          </w:tcPr>
          <w:p w14:paraId="7AD6595C">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0～5</w:t>
            </w:r>
          </w:p>
        </w:tc>
        <w:tc>
          <w:tcPr>
            <w:tcW w:w="321" w:type="pct"/>
            <w:vAlign w:val="center"/>
          </w:tcPr>
          <w:p w14:paraId="0C2F16AF">
            <w:pPr>
              <w:widowControl/>
              <w:jc w:val="center"/>
              <w:rPr>
                <w:rFonts w:hint="eastAsia" w:ascii="仿宋" w:hAnsi="仿宋" w:eastAsia="仿宋" w:cs="仿宋_GB2312"/>
                <w:kern w:val="0"/>
                <w:sz w:val="18"/>
                <w:szCs w:val="18"/>
              </w:rPr>
            </w:pPr>
          </w:p>
        </w:tc>
        <w:tc>
          <w:tcPr>
            <w:tcW w:w="265" w:type="pct"/>
            <w:vAlign w:val="center"/>
          </w:tcPr>
          <w:p w14:paraId="0585FF96">
            <w:pPr>
              <w:widowControl/>
              <w:jc w:val="center"/>
              <w:rPr>
                <w:rFonts w:hint="eastAsia" w:ascii="仿宋" w:hAnsi="仿宋" w:eastAsia="仿宋" w:cs="仿宋_GB2312"/>
                <w:kern w:val="0"/>
                <w:sz w:val="18"/>
                <w:szCs w:val="18"/>
              </w:rPr>
            </w:pPr>
          </w:p>
        </w:tc>
      </w:tr>
      <w:tr w14:paraId="7736A66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7" w:type="pct"/>
            <w:vAlign w:val="center"/>
          </w:tcPr>
          <w:p w14:paraId="31930920">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S9</w:t>
            </w:r>
          </w:p>
        </w:tc>
        <w:tc>
          <w:tcPr>
            <w:tcW w:w="404" w:type="pct"/>
            <w:vAlign w:val="center"/>
          </w:tcPr>
          <w:p w14:paraId="70D1D269">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10～20</w:t>
            </w:r>
          </w:p>
        </w:tc>
        <w:tc>
          <w:tcPr>
            <w:tcW w:w="267" w:type="pct"/>
            <w:vAlign w:val="center"/>
          </w:tcPr>
          <w:p w14:paraId="3C81FDEB">
            <w:pPr>
              <w:widowControl/>
              <w:jc w:val="center"/>
              <w:rPr>
                <w:rFonts w:hint="eastAsia" w:ascii="仿宋" w:hAnsi="仿宋" w:eastAsia="仿宋" w:cs="仿宋_GB2312"/>
                <w:kern w:val="0"/>
                <w:sz w:val="18"/>
                <w:szCs w:val="18"/>
              </w:rPr>
            </w:pPr>
          </w:p>
        </w:tc>
        <w:tc>
          <w:tcPr>
            <w:tcW w:w="348" w:type="pct"/>
            <w:vAlign w:val="center"/>
          </w:tcPr>
          <w:p w14:paraId="61F6F4AA">
            <w:pPr>
              <w:widowControl/>
              <w:jc w:val="center"/>
              <w:rPr>
                <w:rFonts w:hint="eastAsia" w:ascii="仿宋" w:hAnsi="仿宋" w:eastAsia="仿宋" w:cs="仿宋_GB2312"/>
                <w:kern w:val="0"/>
                <w:sz w:val="18"/>
                <w:szCs w:val="18"/>
              </w:rPr>
            </w:pPr>
          </w:p>
        </w:tc>
        <w:tc>
          <w:tcPr>
            <w:tcW w:w="347" w:type="pct"/>
            <w:vAlign w:val="center"/>
          </w:tcPr>
          <w:p w14:paraId="5A1504DC">
            <w:pPr>
              <w:widowControl/>
              <w:jc w:val="center"/>
              <w:rPr>
                <w:rFonts w:hint="eastAsia" w:ascii="仿宋" w:hAnsi="仿宋" w:eastAsia="仿宋" w:cs="仿宋_GB2312"/>
                <w:kern w:val="0"/>
                <w:sz w:val="18"/>
                <w:szCs w:val="18"/>
              </w:rPr>
            </w:pPr>
          </w:p>
        </w:tc>
        <w:tc>
          <w:tcPr>
            <w:tcW w:w="347" w:type="pct"/>
            <w:vAlign w:val="center"/>
          </w:tcPr>
          <w:p w14:paraId="7368435C">
            <w:pPr>
              <w:widowControl/>
              <w:jc w:val="center"/>
              <w:rPr>
                <w:rFonts w:hint="eastAsia" w:ascii="仿宋" w:hAnsi="仿宋" w:eastAsia="仿宋" w:cs="仿宋_GB2312"/>
                <w:kern w:val="0"/>
                <w:sz w:val="18"/>
                <w:szCs w:val="18"/>
              </w:rPr>
            </w:pPr>
          </w:p>
        </w:tc>
        <w:tc>
          <w:tcPr>
            <w:tcW w:w="347" w:type="pct"/>
            <w:vAlign w:val="center"/>
          </w:tcPr>
          <w:p w14:paraId="01ED1FA7">
            <w:pPr>
              <w:widowControl/>
              <w:jc w:val="center"/>
              <w:rPr>
                <w:rFonts w:hint="eastAsia" w:ascii="仿宋" w:hAnsi="仿宋" w:eastAsia="仿宋" w:cs="仿宋_GB2312"/>
                <w:kern w:val="0"/>
                <w:sz w:val="18"/>
                <w:szCs w:val="18"/>
              </w:rPr>
            </w:pPr>
          </w:p>
        </w:tc>
        <w:tc>
          <w:tcPr>
            <w:tcW w:w="347" w:type="pct"/>
            <w:vAlign w:val="center"/>
          </w:tcPr>
          <w:p w14:paraId="00E40DA2">
            <w:pPr>
              <w:widowControl/>
              <w:jc w:val="center"/>
              <w:rPr>
                <w:rFonts w:hint="eastAsia" w:ascii="仿宋" w:hAnsi="仿宋" w:eastAsia="仿宋" w:cs="仿宋_GB2312"/>
                <w:kern w:val="0"/>
                <w:sz w:val="18"/>
                <w:szCs w:val="18"/>
              </w:rPr>
            </w:pPr>
          </w:p>
        </w:tc>
        <w:tc>
          <w:tcPr>
            <w:tcW w:w="347" w:type="pct"/>
            <w:vAlign w:val="center"/>
          </w:tcPr>
          <w:p w14:paraId="47EBA9AA">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100</w:t>
            </w:r>
          </w:p>
        </w:tc>
        <w:tc>
          <w:tcPr>
            <w:tcW w:w="348" w:type="pct"/>
            <w:vAlign w:val="center"/>
          </w:tcPr>
          <w:p w14:paraId="36D8B6DE">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90～100</w:t>
            </w:r>
          </w:p>
        </w:tc>
        <w:tc>
          <w:tcPr>
            <w:tcW w:w="348" w:type="pct"/>
            <w:vAlign w:val="center"/>
          </w:tcPr>
          <w:p w14:paraId="32EC40C2">
            <w:pPr>
              <w:widowControl/>
              <w:jc w:val="center"/>
              <w:rPr>
                <w:rFonts w:hint="eastAsia" w:ascii="仿宋" w:hAnsi="仿宋" w:eastAsia="仿宋" w:cs="仿宋_GB2312"/>
                <w:kern w:val="0"/>
                <w:sz w:val="18"/>
                <w:szCs w:val="18"/>
              </w:rPr>
            </w:pPr>
          </w:p>
        </w:tc>
        <w:tc>
          <w:tcPr>
            <w:tcW w:w="348" w:type="pct"/>
            <w:vAlign w:val="center"/>
          </w:tcPr>
          <w:p w14:paraId="2C7D31B6">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0～15</w:t>
            </w:r>
          </w:p>
        </w:tc>
        <w:tc>
          <w:tcPr>
            <w:tcW w:w="348" w:type="pct"/>
            <w:vAlign w:val="center"/>
          </w:tcPr>
          <w:p w14:paraId="59E8E7C9">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0～5</w:t>
            </w:r>
          </w:p>
        </w:tc>
        <w:tc>
          <w:tcPr>
            <w:tcW w:w="321" w:type="pct"/>
            <w:vAlign w:val="center"/>
          </w:tcPr>
          <w:p w14:paraId="5710ED99">
            <w:pPr>
              <w:widowControl/>
              <w:jc w:val="center"/>
              <w:rPr>
                <w:rFonts w:hint="eastAsia" w:ascii="仿宋" w:hAnsi="仿宋" w:eastAsia="仿宋" w:cs="仿宋_GB2312"/>
                <w:kern w:val="0"/>
                <w:sz w:val="18"/>
                <w:szCs w:val="18"/>
              </w:rPr>
            </w:pPr>
          </w:p>
        </w:tc>
        <w:tc>
          <w:tcPr>
            <w:tcW w:w="265" w:type="pct"/>
            <w:vAlign w:val="center"/>
          </w:tcPr>
          <w:p w14:paraId="3F77EFC8">
            <w:pPr>
              <w:widowControl/>
              <w:jc w:val="center"/>
              <w:rPr>
                <w:rFonts w:hint="eastAsia" w:ascii="仿宋" w:hAnsi="仿宋" w:eastAsia="仿宋" w:cs="仿宋_GB2312"/>
                <w:kern w:val="0"/>
                <w:sz w:val="18"/>
                <w:szCs w:val="18"/>
              </w:rPr>
            </w:pPr>
          </w:p>
        </w:tc>
      </w:tr>
      <w:tr w14:paraId="705E5FF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7" w:type="pct"/>
            <w:vAlign w:val="center"/>
          </w:tcPr>
          <w:p w14:paraId="069A4943">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S10</w:t>
            </w:r>
          </w:p>
        </w:tc>
        <w:tc>
          <w:tcPr>
            <w:tcW w:w="404" w:type="pct"/>
            <w:vAlign w:val="center"/>
          </w:tcPr>
          <w:p w14:paraId="67F9376D">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10～15</w:t>
            </w:r>
          </w:p>
        </w:tc>
        <w:tc>
          <w:tcPr>
            <w:tcW w:w="267" w:type="pct"/>
            <w:vAlign w:val="center"/>
          </w:tcPr>
          <w:p w14:paraId="5ED03141">
            <w:pPr>
              <w:widowControl/>
              <w:jc w:val="center"/>
              <w:rPr>
                <w:rFonts w:hint="eastAsia" w:ascii="仿宋" w:hAnsi="仿宋" w:eastAsia="仿宋" w:cs="仿宋_GB2312"/>
                <w:kern w:val="0"/>
                <w:sz w:val="18"/>
                <w:szCs w:val="18"/>
              </w:rPr>
            </w:pPr>
          </w:p>
        </w:tc>
        <w:tc>
          <w:tcPr>
            <w:tcW w:w="348" w:type="pct"/>
            <w:vAlign w:val="center"/>
          </w:tcPr>
          <w:p w14:paraId="73FE7096">
            <w:pPr>
              <w:widowControl/>
              <w:jc w:val="center"/>
              <w:rPr>
                <w:rFonts w:hint="eastAsia" w:ascii="仿宋" w:hAnsi="仿宋" w:eastAsia="仿宋" w:cs="仿宋_GB2312"/>
                <w:kern w:val="0"/>
                <w:sz w:val="18"/>
                <w:szCs w:val="18"/>
              </w:rPr>
            </w:pPr>
          </w:p>
        </w:tc>
        <w:tc>
          <w:tcPr>
            <w:tcW w:w="347" w:type="pct"/>
            <w:vAlign w:val="center"/>
          </w:tcPr>
          <w:p w14:paraId="033232DE">
            <w:pPr>
              <w:widowControl/>
              <w:jc w:val="center"/>
              <w:rPr>
                <w:rFonts w:hint="eastAsia" w:ascii="仿宋" w:hAnsi="仿宋" w:eastAsia="仿宋" w:cs="仿宋_GB2312"/>
                <w:kern w:val="0"/>
                <w:sz w:val="18"/>
                <w:szCs w:val="18"/>
              </w:rPr>
            </w:pPr>
          </w:p>
        </w:tc>
        <w:tc>
          <w:tcPr>
            <w:tcW w:w="347" w:type="pct"/>
            <w:vAlign w:val="center"/>
          </w:tcPr>
          <w:p w14:paraId="37D6123D">
            <w:pPr>
              <w:widowControl/>
              <w:jc w:val="center"/>
              <w:rPr>
                <w:rFonts w:hint="eastAsia" w:ascii="仿宋" w:hAnsi="仿宋" w:eastAsia="仿宋" w:cs="仿宋_GB2312"/>
                <w:kern w:val="0"/>
                <w:sz w:val="18"/>
                <w:szCs w:val="18"/>
              </w:rPr>
            </w:pPr>
          </w:p>
        </w:tc>
        <w:tc>
          <w:tcPr>
            <w:tcW w:w="347" w:type="pct"/>
            <w:vAlign w:val="center"/>
          </w:tcPr>
          <w:p w14:paraId="2A8692B8">
            <w:pPr>
              <w:widowControl/>
              <w:jc w:val="center"/>
              <w:rPr>
                <w:rFonts w:hint="eastAsia" w:ascii="仿宋" w:hAnsi="仿宋" w:eastAsia="仿宋" w:cs="仿宋_GB2312"/>
                <w:kern w:val="0"/>
                <w:sz w:val="18"/>
                <w:szCs w:val="18"/>
              </w:rPr>
            </w:pPr>
          </w:p>
        </w:tc>
        <w:tc>
          <w:tcPr>
            <w:tcW w:w="347" w:type="pct"/>
            <w:vAlign w:val="center"/>
          </w:tcPr>
          <w:p w14:paraId="07B75E2F">
            <w:pPr>
              <w:widowControl/>
              <w:jc w:val="center"/>
              <w:rPr>
                <w:rFonts w:hint="eastAsia" w:ascii="仿宋" w:hAnsi="仿宋" w:eastAsia="仿宋" w:cs="仿宋_GB2312"/>
                <w:kern w:val="0"/>
                <w:sz w:val="18"/>
                <w:szCs w:val="18"/>
              </w:rPr>
            </w:pPr>
          </w:p>
        </w:tc>
        <w:tc>
          <w:tcPr>
            <w:tcW w:w="347" w:type="pct"/>
            <w:vAlign w:val="center"/>
          </w:tcPr>
          <w:p w14:paraId="20A4F38A">
            <w:pPr>
              <w:widowControl/>
              <w:jc w:val="center"/>
              <w:rPr>
                <w:rFonts w:hint="eastAsia" w:ascii="仿宋" w:hAnsi="仿宋" w:eastAsia="仿宋" w:cs="仿宋_GB2312"/>
                <w:kern w:val="0"/>
                <w:sz w:val="18"/>
                <w:szCs w:val="18"/>
              </w:rPr>
            </w:pPr>
          </w:p>
        </w:tc>
        <w:tc>
          <w:tcPr>
            <w:tcW w:w="348" w:type="pct"/>
            <w:vAlign w:val="center"/>
          </w:tcPr>
          <w:p w14:paraId="731FAD07">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100</w:t>
            </w:r>
          </w:p>
        </w:tc>
        <w:tc>
          <w:tcPr>
            <w:tcW w:w="348" w:type="pct"/>
            <w:vAlign w:val="center"/>
          </w:tcPr>
          <w:p w14:paraId="213DD2B7">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90～100</w:t>
            </w:r>
          </w:p>
        </w:tc>
        <w:tc>
          <w:tcPr>
            <w:tcW w:w="348" w:type="pct"/>
            <w:vAlign w:val="center"/>
          </w:tcPr>
          <w:p w14:paraId="5BC982FB">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0～15</w:t>
            </w:r>
          </w:p>
        </w:tc>
        <w:tc>
          <w:tcPr>
            <w:tcW w:w="348" w:type="pct"/>
            <w:vAlign w:val="center"/>
          </w:tcPr>
          <w:p w14:paraId="5CB2C27B">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0～5</w:t>
            </w:r>
          </w:p>
        </w:tc>
        <w:tc>
          <w:tcPr>
            <w:tcW w:w="321" w:type="pct"/>
            <w:vAlign w:val="center"/>
          </w:tcPr>
          <w:p w14:paraId="50DBC6B8">
            <w:pPr>
              <w:widowControl/>
              <w:jc w:val="center"/>
              <w:rPr>
                <w:rFonts w:hint="eastAsia" w:ascii="仿宋" w:hAnsi="仿宋" w:eastAsia="仿宋" w:cs="仿宋_GB2312"/>
                <w:kern w:val="0"/>
                <w:sz w:val="18"/>
                <w:szCs w:val="18"/>
              </w:rPr>
            </w:pPr>
          </w:p>
        </w:tc>
        <w:tc>
          <w:tcPr>
            <w:tcW w:w="265" w:type="pct"/>
            <w:vAlign w:val="center"/>
          </w:tcPr>
          <w:p w14:paraId="1A63591D">
            <w:pPr>
              <w:widowControl/>
              <w:jc w:val="center"/>
              <w:rPr>
                <w:rFonts w:hint="eastAsia" w:ascii="仿宋" w:hAnsi="仿宋" w:eastAsia="仿宋" w:cs="仿宋_GB2312"/>
                <w:kern w:val="0"/>
                <w:sz w:val="18"/>
                <w:szCs w:val="18"/>
              </w:rPr>
            </w:pPr>
          </w:p>
        </w:tc>
      </w:tr>
      <w:tr w14:paraId="1A95677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7" w:type="pct"/>
            <w:vAlign w:val="center"/>
          </w:tcPr>
          <w:p w14:paraId="6F944392">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S11</w:t>
            </w:r>
          </w:p>
        </w:tc>
        <w:tc>
          <w:tcPr>
            <w:tcW w:w="404" w:type="pct"/>
            <w:vAlign w:val="center"/>
          </w:tcPr>
          <w:p w14:paraId="25F124C3">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5～15</w:t>
            </w:r>
          </w:p>
        </w:tc>
        <w:tc>
          <w:tcPr>
            <w:tcW w:w="267" w:type="pct"/>
            <w:vAlign w:val="center"/>
          </w:tcPr>
          <w:p w14:paraId="2F1C15E5">
            <w:pPr>
              <w:widowControl/>
              <w:jc w:val="center"/>
              <w:rPr>
                <w:rFonts w:hint="eastAsia" w:ascii="仿宋" w:hAnsi="仿宋" w:eastAsia="仿宋" w:cs="仿宋_GB2312"/>
                <w:kern w:val="0"/>
                <w:sz w:val="18"/>
                <w:szCs w:val="18"/>
              </w:rPr>
            </w:pPr>
          </w:p>
        </w:tc>
        <w:tc>
          <w:tcPr>
            <w:tcW w:w="348" w:type="pct"/>
            <w:vAlign w:val="center"/>
          </w:tcPr>
          <w:p w14:paraId="6380CFDA">
            <w:pPr>
              <w:widowControl/>
              <w:jc w:val="center"/>
              <w:rPr>
                <w:rFonts w:hint="eastAsia" w:ascii="仿宋" w:hAnsi="仿宋" w:eastAsia="仿宋" w:cs="仿宋_GB2312"/>
                <w:kern w:val="0"/>
                <w:sz w:val="18"/>
                <w:szCs w:val="18"/>
              </w:rPr>
            </w:pPr>
          </w:p>
        </w:tc>
        <w:tc>
          <w:tcPr>
            <w:tcW w:w="347" w:type="pct"/>
            <w:vAlign w:val="center"/>
          </w:tcPr>
          <w:p w14:paraId="5FB2B9FB">
            <w:pPr>
              <w:widowControl/>
              <w:jc w:val="center"/>
              <w:rPr>
                <w:rFonts w:hint="eastAsia" w:ascii="仿宋" w:hAnsi="仿宋" w:eastAsia="仿宋" w:cs="仿宋_GB2312"/>
                <w:kern w:val="0"/>
                <w:sz w:val="18"/>
                <w:szCs w:val="18"/>
              </w:rPr>
            </w:pPr>
          </w:p>
        </w:tc>
        <w:tc>
          <w:tcPr>
            <w:tcW w:w="347" w:type="pct"/>
            <w:vAlign w:val="center"/>
          </w:tcPr>
          <w:p w14:paraId="6695BF94">
            <w:pPr>
              <w:widowControl/>
              <w:jc w:val="center"/>
              <w:rPr>
                <w:rFonts w:hint="eastAsia" w:ascii="仿宋" w:hAnsi="仿宋" w:eastAsia="仿宋" w:cs="仿宋_GB2312"/>
                <w:kern w:val="0"/>
                <w:sz w:val="18"/>
                <w:szCs w:val="18"/>
              </w:rPr>
            </w:pPr>
          </w:p>
        </w:tc>
        <w:tc>
          <w:tcPr>
            <w:tcW w:w="347" w:type="pct"/>
            <w:vAlign w:val="center"/>
          </w:tcPr>
          <w:p w14:paraId="19E3721A">
            <w:pPr>
              <w:widowControl/>
              <w:jc w:val="center"/>
              <w:rPr>
                <w:rFonts w:hint="eastAsia" w:ascii="仿宋" w:hAnsi="仿宋" w:eastAsia="仿宋" w:cs="仿宋_GB2312"/>
                <w:kern w:val="0"/>
                <w:sz w:val="18"/>
                <w:szCs w:val="18"/>
              </w:rPr>
            </w:pPr>
          </w:p>
        </w:tc>
        <w:tc>
          <w:tcPr>
            <w:tcW w:w="347" w:type="pct"/>
            <w:vAlign w:val="center"/>
          </w:tcPr>
          <w:p w14:paraId="459D010C">
            <w:pPr>
              <w:widowControl/>
              <w:jc w:val="center"/>
              <w:rPr>
                <w:rFonts w:hint="eastAsia" w:ascii="仿宋" w:hAnsi="仿宋" w:eastAsia="仿宋" w:cs="仿宋_GB2312"/>
                <w:kern w:val="0"/>
                <w:sz w:val="18"/>
                <w:szCs w:val="18"/>
              </w:rPr>
            </w:pPr>
          </w:p>
        </w:tc>
        <w:tc>
          <w:tcPr>
            <w:tcW w:w="347" w:type="pct"/>
            <w:vAlign w:val="center"/>
          </w:tcPr>
          <w:p w14:paraId="333E0CA4">
            <w:pPr>
              <w:widowControl/>
              <w:jc w:val="center"/>
              <w:rPr>
                <w:rFonts w:hint="eastAsia" w:ascii="仿宋" w:hAnsi="仿宋" w:eastAsia="仿宋" w:cs="仿宋_GB2312"/>
                <w:kern w:val="0"/>
                <w:sz w:val="18"/>
                <w:szCs w:val="18"/>
              </w:rPr>
            </w:pPr>
          </w:p>
        </w:tc>
        <w:tc>
          <w:tcPr>
            <w:tcW w:w="348" w:type="pct"/>
            <w:vAlign w:val="center"/>
          </w:tcPr>
          <w:p w14:paraId="6E77BCE7">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100</w:t>
            </w:r>
          </w:p>
        </w:tc>
        <w:tc>
          <w:tcPr>
            <w:tcW w:w="348" w:type="pct"/>
            <w:vAlign w:val="center"/>
          </w:tcPr>
          <w:p w14:paraId="0296D525">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90～100</w:t>
            </w:r>
          </w:p>
        </w:tc>
        <w:tc>
          <w:tcPr>
            <w:tcW w:w="348" w:type="pct"/>
            <w:vAlign w:val="center"/>
          </w:tcPr>
          <w:p w14:paraId="6F7B9D38">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40～70</w:t>
            </w:r>
          </w:p>
        </w:tc>
        <w:tc>
          <w:tcPr>
            <w:tcW w:w="348" w:type="pct"/>
            <w:vAlign w:val="center"/>
          </w:tcPr>
          <w:p w14:paraId="744B50B3">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0～15</w:t>
            </w:r>
          </w:p>
        </w:tc>
        <w:tc>
          <w:tcPr>
            <w:tcW w:w="321" w:type="pct"/>
            <w:vAlign w:val="center"/>
          </w:tcPr>
          <w:p w14:paraId="0863CE67">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0～5</w:t>
            </w:r>
          </w:p>
        </w:tc>
        <w:tc>
          <w:tcPr>
            <w:tcW w:w="265" w:type="pct"/>
            <w:vAlign w:val="center"/>
          </w:tcPr>
          <w:p w14:paraId="77F20421">
            <w:pPr>
              <w:widowControl/>
              <w:jc w:val="center"/>
              <w:rPr>
                <w:rFonts w:hint="eastAsia" w:ascii="仿宋" w:hAnsi="仿宋" w:eastAsia="仿宋" w:cs="仿宋_GB2312"/>
                <w:kern w:val="0"/>
                <w:sz w:val="18"/>
                <w:szCs w:val="18"/>
              </w:rPr>
            </w:pPr>
          </w:p>
        </w:tc>
      </w:tr>
      <w:tr w14:paraId="406A7E9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7" w:type="pct"/>
            <w:vAlign w:val="center"/>
          </w:tcPr>
          <w:p w14:paraId="70AF1545">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S12</w:t>
            </w:r>
          </w:p>
        </w:tc>
        <w:tc>
          <w:tcPr>
            <w:tcW w:w="404" w:type="pct"/>
            <w:vAlign w:val="center"/>
          </w:tcPr>
          <w:p w14:paraId="07CFFE7E">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5～10</w:t>
            </w:r>
          </w:p>
        </w:tc>
        <w:tc>
          <w:tcPr>
            <w:tcW w:w="267" w:type="pct"/>
            <w:vAlign w:val="center"/>
          </w:tcPr>
          <w:p w14:paraId="5162D627">
            <w:pPr>
              <w:widowControl/>
              <w:jc w:val="center"/>
              <w:rPr>
                <w:rFonts w:hint="eastAsia" w:ascii="仿宋" w:hAnsi="仿宋" w:eastAsia="仿宋" w:cs="仿宋_GB2312"/>
                <w:kern w:val="0"/>
                <w:sz w:val="18"/>
                <w:szCs w:val="18"/>
              </w:rPr>
            </w:pPr>
          </w:p>
        </w:tc>
        <w:tc>
          <w:tcPr>
            <w:tcW w:w="348" w:type="pct"/>
            <w:vAlign w:val="center"/>
          </w:tcPr>
          <w:p w14:paraId="57BE80B7">
            <w:pPr>
              <w:widowControl/>
              <w:jc w:val="center"/>
              <w:rPr>
                <w:rFonts w:hint="eastAsia" w:ascii="仿宋" w:hAnsi="仿宋" w:eastAsia="仿宋" w:cs="仿宋_GB2312"/>
                <w:kern w:val="0"/>
                <w:sz w:val="18"/>
                <w:szCs w:val="18"/>
              </w:rPr>
            </w:pPr>
          </w:p>
        </w:tc>
        <w:tc>
          <w:tcPr>
            <w:tcW w:w="347" w:type="pct"/>
            <w:vAlign w:val="center"/>
          </w:tcPr>
          <w:p w14:paraId="425CD18F">
            <w:pPr>
              <w:widowControl/>
              <w:jc w:val="center"/>
              <w:rPr>
                <w:rFonts w:hint="eastAsia" w:ascii="仿宋" w:hAnsi="仿宋" w:eastAsia="仿宋" w:cs="仿宋_GB2312"/>
                <w:kern w:val="0"/>
                <w:sz w:val="18"/>
                <w:szCs w:val="18"/>
              </w:rPr>
            </w:pPr>
          </w:p>
        </w:tc>
        <w:tc>
          <w:tcPr>
            <w:tcW w:w="347" w:type="pct"/>
            <w:vAlign w:val="center"/>
          </w:tcPr>
          <w:p w14:paraId="7DE0360F">
            <w:pPr>
              <w:widowControl/>
              <w:jc w:val="center"/>
              <w:rPr>
                <w:rFonts w:hint="eastAsia" w:ascii="仿宋" w:hAnsi="仿宋" w:eastAsia="仿宋" w:cs="仿宋_GB2312"/>
                <w:kern w:val="0"/>
                <w:sz w:val="18"/>
                <w:szCs w:val="18"/>
              </w:rPr>
            </w:pPr>
          </w:p>
        </w:tc>
        <w:tc>
          <w:tcPr>
            <w:tcW w:w="347" w:type="pct"/>
            <w:vAlign w:val="center"/>
          </w:tcPr>
          <w:p w14:paraId="1D86D8DC">
            <w:pPr>
              <w:widowControl/>
              <w:jc w:val="center"/>
              <w:rPr>
                <w:rFonts w:hint="eastAsia" w:ascii="仿宋" w:hAnsi="仿宋" w:eastAsia="仿宋" w:cs="仿宋_GB2312"/>
                <w:kern w:val="0"/>
                <w:sz w:val="18"/>
                <w:szCs w:val="18"/>
              </w:rPr>
            </w:pPr>
          </w:p>
        </w:tc>
        <w:tc>
          <w:tcPr>
            <w:tcW w:w="347" w:type="pct"/>
            <w:vAlign w:val="center"/>
          </w:tcPr>
          <w:p w14:paraId="593A29B1">
            <w:pPr>
              <w:widowControl/>
              <w:jc w:val="center"/>
              <w:rPr>
                <w:rFonts w:hint="eastAsia" w:ascii="仿宋" w:hAnsi="仿宋" w:eastAsia="仿宋" w:cs="仿宋_GB2312"/>
                <w:kern w:val="0"/>
                <w:sz w:val="18"/>
                <w:szCs w:val="18"/>
              </w:rPr>
            </w:pPr>
          </w:p>
        </w:tc>
        <w:tc>
          <w:tcPr>
            <w:tcW w:w="347" w:type="pct"/>
            <w:vAlign w:val="center"/>
          </w:tcPr>
          <w:p w14:paraId="275E46DD">
            <w:pPr>
              <w:widowControl/>
              <w:jc w:val="center"/>
              <w:rPr>
                <w:rFonts w:hint="eastAsia" w:ascii="仿宋" w:hAnsi="仿宋" w:eastAsia="仿宋" w:cs="仿宋_GB2312"/>
                <w:kern w:val="0"/>
                <w:sz w:val="18"/>
                <w:szCs w:val="18"/>
              </w:rPr>
            </w:pPr>
          </w:p>
        </w:tc>
        <w:tc>
          <w:tcPr>
            <w:tcW w:w="348" w:type="pct"/>
            <w:vAlign w:val="center"/>
          </w:tcPr>
          <w:p w14:paraId="66D164C6">
            <w:pPr>
              <w:widowControl/>
              <w:jc w:val="center"/>
              <w:rPr>
                <w:rFonts w:hint="eastAsia" w:ascii="仿宋" w:hAnsi="仿宋" w:eastAsia="仿宋" w:cs="仿宋_GB2312"/>
                <w:kern w:val="0"/>
                <w:sz w:val="18"/>
                <w:szCs w:val="18"/>
              </w:rPr>
            </w:pPr>
          </w:p>
        </w:tc>
        <w:tc>
          <w:tcPr>
            <w:tcW w:w="348" w:type="pct"/>
            <w:vAlign w:val="center"/>
          </w:tcPr>
          <w:p w14:paraId="0A13EDA1">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100</w:t>
            </w:r>
          </w:p>
        </w:tc>
        <w:tc>
          <w:tcPr>
            <w:tcW w:w="348" w:type="pct"/>
            <w:vAlign w:val="center"/>
          </w:tcPr>
          <w:p w14:paraId="398FE9F8">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90～100</w:t>
            </w:r>
          </w:p>
        </w:tc>
        <w:tc>
          <w:tcPr>
            <w:tcW w:w="348" w:type="pct"/>
            <w:vAlign w:val="center"/>
          </w:tcPr>
          <w:p w14:paraId="610F9693">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0～15</w:t>
            </w:r>
          </w:p>
        </w:tc>
        <w:tc>
          <w:tcPr>
            <w:tcW w:w="321" w:type="pct"/>
            <w:vAlign w:val="center"/>
          </w:tcPr>
          <w:p w14:paraId="2E106A2F">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0～5</w:t>
            </w:r>
          </w:p>
        </w:tc>
        <w:tc>
          <w:tcPr>
            <w:tcW w:w="265" w:type="pct"/>
            <w:vAlign w:val="center"/>
          </w:tcPr>
          <w:p w14:paraId="46C64C50">
            <w:pPr>
              <w:widowControl/>
              <w:jc w:val="center"/>
              <w:rPr>
                <w:rFonts w:hint="eastAsia" w:ascii="仿宋" w:hAnsi="仿宋" w:eastAsia="仿宋" w:cs="仿宋_GB2312"/>
                <w:kern w:val="0"/>
                <w:sz w:val="18"/>
                <w:szCs w:val="18"/>
              </w:rPr>
            </w:pPr>
          </w:p>
        </w:tc>
      </w:tr>
      <w:tr w14:paraId="3099620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7" w:type="pct"/>
            <w:vAlign w:val="center"/>
          </w:tcPr>
          <w:p w14:paraId="5087456A">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S13</w:t>
            </w:r>
          </w:p>
        </w:tc>
        <w:tc>
          <w:tcPr>
            <w:tcW w:w="404" w:type="pct"/>
            <w:vAlign w:val="center"/>
          </w:tcPr>
          <w:p w14:paraId="707ED630">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3～10</w:t>
            </w:r>
          </w:p>
        </w:tc>
        <w:tc>
          <w:tcPr>
            <w:tcW w:w="267" w:type="pct"/>
            <w:vAlign w:val="center"/>
          </w:tcPr>
          <w:p w14:paraId="4CEBD1BE">
            <w:pPr>
              <w:widowControl/>
              <w:jc w:val="center"/>
              <w:rPr>
                <w:rFonts w:hint="eastAsia" w:ascii="仿宋" w:hAnsi="仿宋" w:eastAsia="仿宋" w:cs="仿宋_GB2312"/>
                <w:kern w:val="0"/>
                <w:sz w:val="18"/>
                <w:szCs w:val="18"/>
              </w:rPr>
            </w:pPr>
          </w:p>
        </w:tc>
        <w:tc>
          <w:tcPr>
            <w:tcW w:w="348" w:type="pct"/>
            <w:vAlign w:val="center"/>
          </w:tcPr>
          <w:p w14:paraId="0DDA4BDB">
            <w:pPr>
              <w:widowControl/>
              <w:jc w:val="center"/>
              <w:rPr>
                <w:rFonts w:hint="eastAsia" w:ascii="仿宋" w:hAnsi="仿宋" w:eastAsia="仿宋" w:cs="仿宋_GB2312"/>
                <w:kern w:val="0"/>
                <w:sz w:val="18"/>
                <w:szCs w:val="18"/>
              </w:rPr>
            </w:pPr>
          </w:p>
        </w:tc>
        <w:tc>
          <w:tcPr>
            <w:tcW w:w="347" w:type="pct"/>
            <w:vAlign w:val="center"/>
          </w:tcPr>
          <w:p w14:paraId="0A9CBE45">
            <w:pPr>
              <w:widowControl/>
              <w:jc w:val="center"/>
              <w:rPr>
                <w:rFonts w:hint="eastAsia" w:ascii="仿宋" w:hAnsi="仿宋" w:eastAsia="仿宋" w:cs="仿宋_GB2312"/>
                <w:kern w:val="0"/>
                <w:sz w:val="18"/>
                <w:szCs w:val="18"/>
              </w:rPr>
            </w:pPr>
          </w:p>
        </w:tc>
        <w:tc>
          <w:tcPr>
            <w:tcW w:w="347" w:type="pct"/>
            <w:vAlign w:val="center"/>
          </w:tcPr>
          <w:p w14:paraId="3A3C08E6">
            <w:pPr>
              <w:widowControl/>
              <w:jc w:val="center"/>
              <w:rPr>
                <w:rFonts w:hint="eastAsia" w:ascii="仿宋" w:hAnsi="仿宋" w:eastAsia="仿宋" w:cs="仿宋_GB2312"/>
                <w:kern w:val="0"/>
                <w:sz w:val="18"/>
                <w:szCs w:val="18"/>
              </w:rPr>
            </w:pPr>
          </w:p>
        </w:tc>
        <w:tc>
          <w:tcPr>
            <w:tcW w:w="347" w:type="pct"/>
            <w:vAlign w:val="center"/>
          </w:tcPr>
          <w:p w14:paraId="2C2E435C">
            <w:pPr>
              <w:widowControl/>
              <w:jc w:val="center"/>
              <w:rPr>
                <w:rFonts w:hint="eastAsia" w:ascii="仿宋" w:hAnsi="仿宋" w:eastAsia="仿宋" w:cs="仿宋_GB2312"/>
                <w:kern w:val="0"/>
                <w:sz w:val="18"/>
                <w:szCs w:val="18"/>
              </w:rPr>
            </w:pPr>
          </w:p>
        </w:tc>
        <w:tc>
          <w:tcPr>
            <w:tcW w:w="347" w:type="pct"/>
            <w:vAlign w:val="center"/>
          </w:tcPr>
          <w:p w14:paraId="05DAF82B">
            <w:pPr>
              <w:widowControl/>
              <w:jc w:val="center"/>
              <w:rPr>
                <w:rFonts w:hint="eastAsia" w:ascii="仿宋" w:hAnsi="仿宋" w:eastAsia="仿宋" w:cs="仿宋_GB2312"/>
                <w:kern w:val="0"/>
                <w:sz w:val="18"/>
                <w:szCs w:val="18"/>
              </w:rPr>
            </w:pPr>
          </w:p>
        </w:tc>
        <w:tc>
          <w:tcPr>
            <w:tcW w:w="347" w:type="pct"/>
            <w:vAlign w:val="center"/>
          </w:tcPr>
          <w:p w14:paraId="3C6F31A2">
            <w:pPr>
              <w:widowControl/>
              <w:jc w:val="center"/>
              <w:rPr>
                <w:rFonts w:hint="eastAsia" w:ascii="仿宋" w:hAnsi="仿宋" w:eastAsia="仿宋" w:cs="仿宋_GB2312"/>
                <w:kern w:val="0"/>
                <w:sz w:val="18"/>
                <w:szCs w:val="18"/>
              </w:rPr>
            </w:pPr>
          </w:p>
        </w:tc>
        <w:tc>
          <w:tcPr>
            <w:tcW w:w="348" w:type="pct"/>
            <w:vAlign w:val="center"/>
          </w:tcPr>
          <w:p w14:paraId="10CFED8B">
            <w:pPr>
              <w:widowControl/>
              <w:jc w:val="center"/>
              <w:rPr>
                <w:rFonts w:hint="eastAsia" w:ascii="仿宋" w:hAnsi="仿宋" w:eastAsia="仿宋" w:cs="仿宋_GB2312"/>
                <w:kern w:val="0"/>
                <w:sz w:val="18"/>
                <w:szCs w:val="18"/>
              </w:rPr>
            </w:pPr>
          </w:p>
        </w:tc>
        <w:tc>
          <w:tcPr>
            <w:tcW w:w="348" w:type="pct"/>
            <w:vAlign w:val="center"/>
          </w:tcPr>
          <w:p w14:paraId="13D8B13C">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100</w:t>
            </w:r>
          </w:p>
        </w:tc>
        <w:tc>
          <w:tcPr>
            <w:tcW w:w="348" w:type="pct"/>
            <w:vAlign w:val="center"/>
          </w:tcPr>
          <w:p w14:paraId="7B140610">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90～100</w:t>
            </w:r>
          </w:p>
        </w:tc>
        <w:tc>
          <w:tcPr>
            <w:tcW w:w="348" w:type="pct"/>
            <w:vAlign w:val="center"/>
          </w:tcPr>
          <w:p w14:paraId="4A3987A7">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40～70</w:t>
            </w:r>
          </w:p>
        </w:tc>
        <w:tc>
          <w:tcPr>
            <w:tcW w:w="321" w:type="pct"/>
            <w:vAlign w:val="center"/>
          </w:tcPr>
          <w:p w14:paraId="1C15E49E">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0～20</w:t>
            </w:r>
          </w:p>
        </w:tc>
        <w:tc>
          <w:tcPr>
            <w:tcW w:w="265" w:type="pct"/>
            <w:vAlign w:val="center"/>
          </w:tcPr>
          <w:p w14:paraId="0EF037CD">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0～5</w:t>
            </w:r>
          </w:p>
        </w:tc>
      </w:tr>
      <w:tr w14:paraId="6F0C771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7" w:type="pct"/>
            <w:vAlign w:val="center"/>
          </w:tcPr>
          <w:p w14:paraId="0751927D">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S14</w:t>
            </w:r>
          </w:p>
        </w:tc>
        <w:tc>
          <w:tcPr>
            <w:tcW w:w="404" w:type="pct"/>
            <w:vAlign w:val="center"/>
          </w:tcPr>
          <w:p w14:paraId="5F6D7BE2">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3～5</w:t>
            </w:r>
          </w:p>
        </w:tc>
        <w:tc>
          <w:tcPr>
            <w:tcW w:w="267" w:type="pct"/>
            <w:vAlign w:val="center"/>
          </w:tcPr>
          <w:p w14:paraId="063668F8">
            <w:pPr>
              <w:widowControl/>
              <w:jc w:val="center"/>
              <w:rPr>
                <w:rFonts w:hint="eastAsia" w:ascii="仿宋" w:hAnsi="仿宋" w:eastAsia="仿宋" w:cs="仿宋_GB2312"/>
                <w:kern w:val="0"/>
                <w:sz w:val="18"/>
                <w:szCs w:val="18"/>
              </w:rPr>
            </w:pPr>
          </w:p>
        </w:tc>
        <w:tc>
          <w:tcPr>
            <w:tcW w:w="348" w:type="pct"/>
            <w:vAlign w:val="center"/>
          </w:tcPr>
          <w:p w14:paraId="706599BA">
            <w:pPr>
              <w:widowControl/>
              <w:jc w:val="center"/>
              <w:rPr>
                <w:rFonts w:hint="eastAsia" w:ascii="仿宋" w:hAnsi="仿宋" w:eastAsia="仿宋" w:cs="仿宋_GB2312"/>
                <w:kern w:val="0"/>
                <w:sz w:val="18"/>
                <w:szCs w:val="18"/>
              </w:rPr>
            </w:pPr>
          </w:p>
        </w:tc>
        <w:tc>
          <w:tcPr>
            <w:tcW w:w="347" w:type="pct"/>
            <w:vAlign w:val="center"/>
          </w:tcPr>
          <w:p w14:paraId="04C77826">
            <w:pPr>
              <w:widowControl/>
              <w:jc w:val="center"/>
              <w:rPr>
                <w:rFonts w:hint="eastAsia" w:ascii="仿宋" w:hAnsi="仿宋" w:eastAsia="仿宋" w:cs="仿宋_GB2312"/>
                <w:kern w:val="0"/>
                <w:sz w:val="18"/>
                <w:szCs w:val="18"/>
              </w:rPr>
            </w:pPr>
          </w:p>
        </w:tc>
        <w:tc>
          <w:tcPr>
            <w:tcW w:w="347" w:type="pct"/>
            <w:vAlign w:val="center"/>
          </w:tcPr>
          <w:p w14:paraId="7358FBC7">
            <w:pPr>
              <w:widowControl/>
              <w:jc w:val="center"/>
              <w:rPr>
                <w:rFonts w:hint="eastAsia" w:ascii="仿宋" w:hAnsi="仿宋" w:eastAsia="仿宋" w:cs="仿宋_GB2312"/>
                <w:kern w:val="0"/>
                <w:sz w:val="18"/>
                <w:szCs w:val="18"/>
              </w:rPr>
            </w:pPr>
          </w:p>
        </w:tc>
        <w:tc>
          <w:tcPr>
            <w:tcW w:w="347" w:type="pct"/>
            <w:vAlign w:val="center"/>
          </w:tcPr>
          <w:p w14:paraId="37C0076A">
            <w:pPr>
              <w:widowControl/>
              <w:jc w:val="center"/>
              <w:rPr>
                <w:rFonts w:hint="eastAsia" w:ascii="仿宋" w:hAnsi="仿宋" w:eastAsia="仿宋" w:cs="仿宋_GB2312"/>
                <w:kern w:val="0"/>
                <w:sz w:val="18"/>
                <w:szCs w:val="18"/>
              </w:rPr>
            </w:pPr>
          </w:p>
        </w:tc>
        <w:tc>
          <w:tcPr>
            <w:tcW w:w="347" w:type="pct"/>
            <w:vAlign w:val="center"/>
          </w:tcPr>
          <w:p w14:paraId="5CE94CBD">
            <w:pPr>
              <w:widowControl/>
              <w:jc w:val="center"/>
              <w:rPr>
                <w:rFonts w:hint="eastAsia" w:ascii="仿宋" w:hAnsi="仿宋" w:eastAsia="仿宋" w:cs="仿宋_GB2312"/>
                <w:kern w:val="0"/>
                <w:sz w:val="18"/>
                <w:szCs w:val="18"/>
              </w:rPr>
            </w:pPr>
          </w:p>
        </w:tc>
        <w:tc>
          <w:tcPr>
            <w:tcW w:w="347" w:type="pct"/>
            <w:vAlign w:val="center"/>
          </w:tcPr>
          <w:p w14:paraId="7D31E9B0">
            <w:pPr>
              <w:widowControl/>
              <w:jc w:val="center"/>
              <w:rPr>
                <w:rFonts w:hint="eastAsia" w:ascii="仿宋" w:hAnsi="仿宋" w:eastAsia="仿宋" w:cs="仿宋_GB2312"/>
                <w:kern w:val="0"/>
                <w:sz w:val="18"/>
                <w:szCs w:val="18"/>
              </w:rPr>
            </w:pPr>
          </w:p>
        </w:tc>
        <w:tc>
          <w:tcPr>
            <w:tcW w:w="348" w:type="pct"/>
            <w:vAlign w:val="center"/>
          </w:tcPr>
          <w:p w14:paraId="7EDF0EE1">
            <w:pPr>
              <w:widowControl/>
              <w:jc w:val="center"/>
              <w:rPr>
                <w:rFonts w:hint="eastAsia" w:ascii="仿宋" w:hAnsi="仿宋" w:eastAsia="仿宋" w:cs="仿宋_GB2312"/>
                <w:kern w:val="0"/>
                <w:sz w:val="18"/>
                <w:szCs w:val="18"/>
              </w:rPr>
            </w:pPr>
          </w:p>
        </w:tc>
        <w:tc>
          <w:tcPr>
            <w:tcW w:w="348" w:type="pct"/>
            <w:vAlign w:val="center"/>
          </w:tcPr>
          <w:p w14:paraId="4E4AB703">
            <w:pPr>
              <w:widowControl/>
              <w:jc w:val="center"/>
              <w:rPr>
                <w:rFonts w:hint="eastAsia" w:ascii="仿宋" w:hAnsi="仿宋" w:eastAsia="仿宋" w:cs="仿宋_GB2312"/>
                <w:kern w:val="0"/>
                <w:sz w:val="18"/>
                <w:szCs w:val="18"/>
              </w:rPr>
            </w:pPr>
          </w:p>
        </w:tc>
        <w:tc>
          <w:tcPr>
            <w:tcW w:w="348" w:type="pct"/>
            <w:vAlign w:val="center"/>
          </w:tcPr>
          <w:p w14:paraId="235BCFE0">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100</w:t>
            </w:r>
          </w:p>
        </w:tc>
        <w:tc>
          <w:tcPr>
            <w:tcW w:w="348" w:type="pct"/>
            <w:vAlign w:val="center"/>
          </w:tcPr>
          <w:p w14:paraId="1442796D">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90～100</w:t>
            </w:r>
          </w:p>
        </w:tc>
        <w:tc>
          <w:tcPr>
            <w:tcW w:w="321" w:type="pct"/>
            <w:vAlign w:val="center"/>
          </w:tcPr>
          <w:p w14:paraId="55391526">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0～15</w:t>
            </w:r>
          </w:p>
        </w:tc>
        <w:tc>
          <w:tcPr>
            <w:tcW w:w="265" w:type="pct"/>
            <w:vAlign w:val="center"/>
          </w:tcPr>
          <w:p w14:paraId="09ED48BF">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0～3</w:t>
            </w:r>
          </w:p>
        </w:tc>
      </w:tr>
    </w:tbl>
    <w:p w14:paraId="4C42886C">
      <w:pPr>
        <w:pStyle w:val="212"/>
        <w:rPr>
          <w:rFonts w:hint="eastAsia"/>
        </w:rPr>
      </w:pPr>
      <w:r>
        <w:rPr>
          <w:rFonts w:hint="eastAsia"/>
        </w:rPr>
        <w:t>沥青面层用粗集料质量技术要求</w:t>
      </w:r>
    </w:p>
    <w:tbl>
      <w:tblPr>
        <w:tblStyle w:val="27"/>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56"/>
        <w:gridCol w:w="1213"/>
        <w:gridCol w:w="1221"/>
        <w:gridCol w:w="1213"/>
        <w:gridCol w:w="1213"/>
        <w:gridCol w:w="1213"/>
        <w:gridCol w:w="1332"/>
        <w:gridCol w:w="1265"/>
      </w:tblGrid>
      <w:tr w14:paraId="3C4DADF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33" w:type="pct"/>
            <w:vAlign w:val="center"/>
          </w:tcPr>
          <w:p w14:paraId="2F787EDD">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石料压碎值不大于(%)</w:t>
            </w:r>
          </w:p>
        </w:tc>
        <w:tc>
          <w:tcPr>
            <w:tcW w:w="611" w:type="pct"/>
            <w:vAlign w:val="center"/>
          </w:tcPr>
          <w:p w14:paraId="3CA79FC7">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洛杉矶磨耗值不大于(%)</w:t>
            </w:r>
          </w:p>
        </w:tc>
        <w:tc>
          <w:tcPr>
            <w:tcW w:w="615" w:type="pct"/>
            <w:vAlign w:val="center"/>
          </w:tcPr>
          <w:p w14:paraId="05A977AD">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视密度</w:t>
            </w:r>
          </w:p>
          <w:p w14:paraId="5160EE48">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不小于(t/m3)</w:t>
            </w:r>
          </w:p>
        </w:tc>
        <w:tc>
          <w:tcPr>
            <w:tcW w:w="611" w:type="pct"/>
            <w:vAlign w:val="center"/>
          </w:tcPr>
          <w:p w14:paraId="0EA2101C">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吸水率</w:t>
            </w:r>
          </w:p>
          <w:p w14:paraId="7A50AE60">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不大于(%)</w:t>
            </w:r>
          </w:p>
        </w:tc>
        <w:tc>
          <w:tcPr>
            <w:tcW w:w="611" w:type="pct"/>
            <w:vAlign w:val="center"/>
          </w:tcPr>
          <w:p w14:paraId="043E9F86">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对沥青的粘附性</w:t>
            </w:r>
          </w:p>
          <w:p w14:paraId="717A9AE3">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不小于</w:t>
            </w:r>
          </w:p>
        </w:tc>
        <w:tc>
          <w:tcPr>
            <w:tcW w:w="611" w:type="pct"/>
            <w:vAlign w:val="center"/>
          </w:tcPr>
          <w:p w14:paraId="0794F40C">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细长扁平颗粒含量不大于(%)</w:t>
            </w:r>
          </w:p>
        </w:tc>
        <w:tc>
          <w:tcPr>
            <w:tcW w:w="671" w:type="pct"/>
            <w:vAlign w:val="center"/>
          </w:tcPr>
          <w:p w14:paraId="78633451">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水洗法&lt;0.075mm颗粒含量不大于(%)</w:t>
            </w:r>
          </w:p>
        </w:tc>
        <w:tc>
          <w:tcPr>
            <w:tcW w:w="637" w:type="pct"/>
            <w:vAlign w:val="center"/>
          </w:tcPr>
          <w:p w14:paraId="10DAFDF7">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软石含量不大于(%)</w:t>
            </w:r>
          </w:p>
        </w:tc>
      </w:tr>
      <w:tr w14:paraId="5ABF9E6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33" w:type="pct"/>
            <w:vAlign w:val="center"/>
          </w:tcPr>
          <w:p w14:paraId="0B18CB22">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30</w:t>
            </w:r>
          </w:p>
        </w:tc>
        <w:tc>
          <w:tcPr>
            <w:tcW w:w="611" w:type="pct"/>
            <w:vAlign w:val="center"/>
          </w:tcPr>
          <w:p w14:paraId="5135935E">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35</w:t>
            </w:r>
          </w:p>
        </w:tc>
        <w:tc>
          <w:tcPr>
            <w:tcW w:w="615" w:type="pct"/>
            <w:vAlign w:val="center"/>
          </w:tcPr>
          <w:p w14:paraId="0F6369F3">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2.45</w:t>
            </w:r>
          </w:p>
        </w:tc>
        <w:tc>
          <w:tcPr>
            <w:tcW w:w="611" w:type="pct"/>
            <w:vAlign w:val="center"/>
          </w:tcPr>
          <w:p w14:paraId="73E438DC">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3</w:t>
            </w:r>
          </w:p>
        </w:tc>
        <w:tc>
          <w:tcPr>
            <w:tcW w:w="611" w:type="pct"/>
            <w:vAlign w:val="center"/>
          </w:tcPr>
          <w:p w14:paraId="156648DC">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4级</w:t>
            </w:r>
          </w:p>
        </w:tc>
        <w:tc>
          <w:tcPr>
            <w:tcW w:w="611" w:type="pct"/>
            <w:vAlign w:val="center"/>
          </w:tcPr>
          <w:p w14:paraId="1005D9FF">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20</w:t>
            </w:r>
          </w:p>
        </w:tc>
        <w:tc>
          <w:tcPr>
            <w:tcW w:w="671" w:type="pct"/>
            <w:vAlign w:val="center"/>
          </w:tcPr>
          <w:p w14:paraId="4B88B658">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1</w:t>
            </w:r>
          </w:p>
        </w:tc>
        <w:tc>
          <w:tcPr>
            <w:tcW w:w="637" w:type="pct"/>
            <w:vAlign w:val="center"/>
          </w:tcPr>
          <w:p w14:paraId="56C83C56">
            <w:pPr>
              <w:widowControl/>
              <w:jc w:val="center"/>
              <w:rPr>
                <w:rFonts w:hint="eastAsia" w:ascii="仿宋" w:hAnsi="仿宋" w:eastAsia="仿宋" w:cs="仿宋_GB2312"/>
                <w:kern w:val="0"/>
                <w:sz w:val="18"/>
                <w:szCs w:val="18"/>
              </w:rPr>
            </w:pPr>
            <w:r>
              <w:rPr>
                <w:rFonts w:hint="eastAsia" w:ascii="仿宋" w:hAnsi="仿宋" w:eastAsia="仿宋" w:cs="仿宋_GB2312"/>
                <w:kern w:val="0"/>
                <w:sz w:val="18"/>
                <w:szCs w:val="18"/>
              </w:rPr>
              <w:t>5</w:t>
            </w:r>
          </w:p>
        </w:tc>
      </w:tr>
    </w:tbl>
    <w:p w14:paraId="042DF772">
      <w:pPr>
        <w:pStyle w:val="208"/>
        <w:ind w:firstLine="482" w:firstLineChars="200"/>
        <w:rPr>
          <w:rFonts w:hint="eastAsia"/>
        </w:rPr>
      </w:pPr>
      <w:r>
        <w:rPr>
          <w:rFonts w:hint="eastAsia"/>
        </w:rPr>
        <w:t>细集料</w:t>
      </w:r>
    </w:p>
    <w:p w14:paraId="727A9233">
      <w:pPr>
        <w:pStyle w:val="77"/>
        <w:rPr>
          <w:rFonts w:hint="eastAsia" w:ascii="仿宋" w:hAnsi="仿宋" w:eastAsia="仿宋"/>
        </w:rPr>
      </w:pPr>
      <w:r>
        <w:rPr>
          <w:rFonts w:hint="eastAsia" w:ascii="仿宋" w:hAnsi="仿宋" w:eastAsia="仿宋"/>
        </w:rPr>
        <w:t>细集料应干燥、洁净、无风化、无杂质，并有适当的颗粒组成，优先采用优质的天然砂。砂的规格及技术要求应符合《公路沥青路面施工技术规范》（JTG F40-2017）中表4.9.3和表4.9.4的规定，具体见表《沥青面层用石屑规格》和《沥青面层用天然砂的规格》。</w:t>
      </w:r>
    </w:p>
    <w:p w14:paraId="63479ACC">
      <w:pPr>
        <w:pStyle w:val="212"/>
        <w:rPr>
          <w:rFonts w:hint="eastAsia"/>
        </w:rPr>
      </w:pPr>
      <w:r>
        <w:rPr>
          <w:rFonts w:hint="eastAsia"/>
        </w:rPr>
        <w:t>沥青面层用石屑规格</w:t>
      </w:r>
    </w:p>
    <w:tbl>
      <w:tblPr>
        <w:tblStyle w:val="27"/>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939"/>
        <w:gridCol w:w="731"/>
        <w:gridCol w:w="1269"/>
        <w:gridCol w:w="1269"/>
        <w:gridCol w:w="1096"/>
        <w:gridCol w:w="1096"/>
        <w:gridCol w:w="923"/>
        <w:gridCol w:w="925"/>
        <w:gridCol w:w="923"/>
        <w:gridCol w:w="6"/>
      </w:tblGrid>
      <w:tr w14:paraId="75835E6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454" w:hRule="atLeast"/>
          <w:tblHeader/>
          <w:jc w:val="center"/>
        </w:trPr>
        <w:tc>
          <w:tcPr>
            <w:tcW w:w="377" w:type="pct"/>
            <w:vMerge w:val="restart"/>
            <w:shd w:val="clear" w:color="auto" w:fill="D9E2F3" w:themeFill="accent1" w:themeFillTint="33"/>
            <w:vAlign w:val="center"/>
          </w:tcPr>
          <w:p w14:paraId="4D0A7015">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规格</w:t>
            </w:r>
          </w:p>
        </w:tc>
        <w:tc>
          <w:tcPr>
            <w:tcW w:w="473" w:type="pct"/>
            <w:vMerge w:val="restart"/>
            <w:shd w:val="clear" w:color="auto" w:fill="D9E2F3" w:themeFill="accent1" w:themeFillTint="33"/>
            <w:vAlign w:val="center"/>
          </w:tcPr>
          <w:p w14:paraId="247AA5A8">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公称粒径</w:t>
            </w:r>
          </w:p>
          <w:p w14:paraId="1031D136">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(mm)</w:t>
            </w:r>
          </w:p>
        </w:tc>
        <w:tc>
          <w:tcPr>
            <w:tcW w:w="4149" w:type="pct"/>
            <w:gridSpan w:val="9"/>
            <w:shd w:val="clear" w:color="auto" w:fill="D9E2F3" w:themeFill="accent1" w:themeFillTint="33"/>
            <w:vAlign w:val="center"/>
          </w:tcPr>
          <w:p w14:paraId="6233BA6A">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通过各筛孔的质量百分率（％）</w:t>
            </w:r>
          </w:p>
        </w:tc>
      </w:tr>
      <w:tr w14:paraId="3339DC7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454" w:hRule="atLeast"/>
          <w:tblHeader/>
          <w:jc w:val="center"/>
        </w:trPr>
        <w:tc>
          <w:tcPr>
            <w:tcW w:w="377" w:type="pct"/>
            <w:vMerge w:val="continue"/>
            <w:shd w:val="clear" w:color="auto" w:fill="D9E2F3" w:themeFill="accent1" w:themeFillTint="33"/>
            <w:vAlign w:val="center"/>
          </w:tcPr>
          <w:p w14:paraId="4BC8A254">
            <w:pPr>
              <w:widowControl/>
              <w:jc w:val="left"/>
              <w:rPr>
                <w:rFonts w:hint="eastAsia" w:ascii="仿宋" w:hAnsi="仿宋" w:eastAsia="仿宋" w:cs="仿宋_GB2312"/>
                <w:kern w:val="0"/>
                <w:sz w:val="21"/>
                <w:szCs w:val="21"/>
              </w:rPr>
            </w:pPr>
          </w:p>
        </w:tc>
        <w:tc>
          <w:tcPr>
            <w:tcW w:w="473" w:type="pct"/>
            <w:vMerge w:val="continue"/>
            <w:shd w:val="clear" w:color="auto" w:fill="D9E2F3" w:themeFill="accent1" w:themeFillTint="33"/>
            <w:vAlign w:val="center"/>
          </w:tcPr>
          <w:p w14:paraId="6B084A5A">
            <w:pPr>
              <w:widowControl/>
              <w:jc w:val="left"/>
              <w:rPr>
                <w:rFonts w:hint="eastAsia" w:ascii="仿宋" w:hAnsi="仿宋" w:eastAsia="仿宋" w:cs="仿宋_GB2312"/>
                <w:kern w:val="0"/>
                <w:sz w:val="21"/>
                <w:szCs w:val="21"/>
              </w:rPr>
            </w:pPr>
          </w:p>
        </w:tc>
        <w:tc>
          <w:tcPr>
            <w:tcW w:w="368" w:type="pct"/>
            <w:shd w:val="clear" w:color="auto" w:fill="D9E2F3" w:themeFill="accent1" w:themeFillTint="33"/>
            <w:vAlign w:val="center"/>
          </w:tcPr>
          <w:p w14:paraId="381956BB">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9.5</w:t>
            </w:r>
          </w:p>
        </w:tc>
        <w:tc>
          <w:tcPr>
            <w:tcW w:w="639" w:type="pct"/>
            <w:shd w:val="clear" w:color="auto" w:fill="D9E2F3" w:themeFill="accent1" w:themeFillTint="33"/>
            <w:vAlign w:val="center"/>
          </w:tcPr>
          <w:p w14:paraId="3F211D79">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4.75</w:t>
            </w:r>
          </w:p>
        </w:tc>
        <w:tc>
          <w:tcPr>
            <w:tcW w:w="639" w:type="pct"/>
            <w:shd w:val="clear" w:color="auto" w:fill="D9E2F3" w:themeFill="accent1" w:themeFillTint="33"/>
            <w:vAlign w:val="center"/>
          </w:tcPr>
          <w:p w14:paraId="7474871E">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2.36</w:t>
            </w:r>
          </w:p>
        </w:tc>
        <w:tc>
          <w:tcPr>
            <w:tcW w:w="552" w:type="pct"/>
            <w:shd w:val="clear" w:color="auto" w:fill="D9E2F3" w:themeFill="accent1" w:themeFillTint="33"/>
            <w:vAlign w:val="center"/>
          </w:tcPr>
          <w:p w14:paraId="357073C6">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1.18</w:t>
            </w:r>
          </w:p>
        </w:tc>
        <w:tc>
          <w:tcPr>
            <w:tcW w:w="552" w:type="pct"/>
            <w:shd w:val="clear" w:color="auto" w:fill="D9E2F3" w:themeFill="accent1" w:themeFillTint="33"/>
            <w:vAlign w:val="center"/>
          </w:tcPr>
          <w:p w14:paraId="36163FBB">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0.6</w:t>
            </w:r>
          </w:p>
        </w:tc>
        <w:tc>
          <w:tcPr>
            <w:tcW w:w="465" w:type="pct"/>
            <w:shd w:val="clear" w:color="auto" w:fill="D9E2F3" w:themeFill="accent1" w:themeFillTint="33"/>
            <w:vAlign w:val="center"/>
          </w:tcPr>
          <w:p w14:paraId="0E97C9BF">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0.3</w:t>
            </w:r>
          </w:p>
        </w:tc>
        <w:tc>
          <w:tcPr>
            <w:tcW w:w="466" w:type="pct"/>
            <w:shd w:val="clear" w:color="auto" w:fill="D9E2F3" w:themeFill="accent1" w:themeFillTint="33"/>
            <w:vAlign w:val="center"/>
          </w:tcPr>
          <w:p w14:paraId="70234B92">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0.15</w:t>
            </w:r>
          </w:p>
        </w:tc>
        <w:tc>
          <w:tcPr>
            <w:tcW w:w="465" w:type="pct"/>
            <w:shd w:val="clear" w:color="auto" w:fill="D9E2F3" w:themeFill="accent1" w:themeFillTint="33"/>
            <w:vAlign w:val="center"/>
          </w:tcPr>
          <w:p w14:paraId="1517202B">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0.075</w:t>
            </w:r>
          </w:p>
        </w:tc>
      </w:tr>
      <w:tr w14:paraId="438EB5F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454" w:hRule="atLeast"/>
          <w:jc w:val="center"/>
        </w:trPr>
        <w:tc>
          <w:tcPr>
            <w:tcW w:w="377" w:type="pct"/>
            <w:vAlign w:val="center"/>
          </w:tcPr>
          <w:p w14:paraId="4DCBF967">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S15</w:t>
            </w:r>
          </w:p>
        </w:tc>
        <w:tc>
          <w:tcPr>
            <w:tcW w:w="473" w:type="pct"/>
            <w:vAlign w:val="center"/>
          </w:tcPr>
          <w:p w14:paraId="252BD064">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0～5</w:t>
            </w:r>
          </w:p>
        </w:tc>
        <w:tc>
          <w:tcPr>
            <w:tcW w:w="368" w:type="pct"/>
            <w:vAlign w:val="center"/>
          </w:tcPr>
          <w:p w14:paraId="1CE65C5B">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100</w:t>
            </w:r>
          </w:p>
        </w:tc>
        <w:tc>
          <w:tcPr>
            <w:tcW w:w="639" w:type="pct"/>
            <w:vAlign w:val="center"/>
          </w:tcPr>
          <w:p w14:paraId="4C71C23C">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90～100</w:t>
            </w:r>
          </w:p>
        </w:tc>
        <w:tc>
          <w:tcPr>
            <w:tcW w:w="639" w:type="pct"/>
            <w:vAlign w:val="center"/>
          </w:tcPr>
          <w:p w14:paraId="433553F5">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60～90</w:t>
            </w:r>
          </w:p>
        </w:tc>
        <w:tc>
          <w:tcPr>
            <w:tcW w:w="552" w:type="pct"/>
            <w:vAlign w:val="center"/>
          </w:tcPr>
          <w:p w14:paraId="6FE2C7E0">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40～75</w:t>
            </w:r>
          </w:p>
        </w:tc>
        <w:tc>
          <w:tcPr>
            <w:tcW w:w="552" w:type="pct"/>
            <w:vAlign w:val="center"/>
          </w:tcPr>
          <w:p w14:paraId="6A1ACF76">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20～55</w:t>
            </w:r>
          </w:p>
        </w:tc>
        <w:tc>
          <w:tcPr>
            <w:tcW w:w="465" w:type="pct"/>
            <w:vAlign w:val="center"/>
          </w:tcPr>
          <w:p w14:paraId="2195E212">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7～40</w:t>
            </w:r>
          </w:p>
        </w:tc>
        <w:tc>
          <w:tcPr>
            <w:tcW w:w="466" w:type="pct"/>
            <w:vAlign w:val="center"/>
          </w:tcPr>
          <w:p w14:paraId="0E0E9E37">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2～20</w:t>
            </w:r>
          </w:p>
        </w:tc>
        <w:tc>
          <w:tcPr>
            <w:tcW w:w="465" w:type="pct"/>
            <w:vAlign w:val="center"/>
          </w:tcPr>
          <w:p w14:paraId="61D85701">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0～10</w:t>
            </w:r>
          </w:p>
        </w:tc>
      </w:tr>
      <w:tr w14:paraId="13CA102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454" w:hRule="atLeast"/>
          <w:jc w:val="center"/>
        </w:trPr>
        <w:tc>
          <w:tcPr>
            <w:tcW w:w="377" w:type="pct"/>
            <w:vAlign w:val="center"/>
          </w:tcPr>
          <w:p w14:paraId="54E71D64">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S16</w:t>
            </w:r>
          </w:p>
        </w:tc>
        <w:tc>
          <w:tcPr>
            <w:tcW w:w="473" w:type="pct"/>
            <w:vAlign w:val="center"/>
          </w:tcPr>
          <w:p w14:paraId="415F77AB">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0～3</w:t>
            </w:r>
          </w:p>
        </w:tc>
        <w:tc>
          <w:tcPr>
            <w:tcW w:w="368" w:type="pct"/>
            <w:vAlign w:val="center"/>
          </w:tcPr>
          <w:p w14:paraId="067EBC02">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　</w:t>
            </w:r>
          </w:p>
        </w:tc>
        <w:tc>
          <w:tcPr>
            <w:tcW w:w="639" w:type="pct"/>
            <w:vAlign w:val="center"/>
          </w:tcPr>
          <w:p w14:paraId="46FF46E2">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100</w:t>
            </w:r>
          </w:p>
        </w:tc>
        <w:tc>
          <w:tcPr>
            <w:tcW w:w="639" w:type="pct"/>
            <w:vAlign w:val="center"/>
          </w:tcPr>
          <w:p w14:paraId="4A4F21BF">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80～100</w:t>
            </w:r>
          </w:p>
        </w:tc>
        <w:tc>
          <w:tcPr>
            <w:tcW w:w="552" w:type="pct"/>
            <w:vAlign w:val="center"/>
          </w:tcPr>
          <w:p w14:paraId="58CE6777">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50～80</w:t>
            </w:r>
          </w:p>
        </w:tc>
        <w:tc>
          <w:tcPr>
            <w:tcW w:w="552" w:type="pct"/>
            <w:vAlign w:val="center"/>
          </w:tcPr>
          <w:p w14:paraId="01641A39">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25～60</w:t>
            </w:r>
          </w:p>
        </w:tc>
        <w:tc>
          <w:tcPr>
            <w:tcW w:w="465" w:type="pct"/>
            <w:vAlign w:val="center"/>
          </w:tcPr>
          <w:p w14:paraId="784EB5F3">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8～45</w:t>
            </w:r>
          </w:p>
        </w:tc>
        <w:tc>
          <w:tcPr>
            <w:tcW w:w="466" w:type="pct"/>
            <w:vAlign w:val="center"/>
          </w:tcPr>
          <w:p w14:paraId="7EA722C9">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0～25</w:t>
            </w:r>
          </w:p>
        </w:tc>
        <w:tc>
          <w:tcPr>
            <w:tcW w:w="465" w:type="pct"/>
            <w:vAlign w:val="center"/>
          </w:tcPr>
          <w:p w14:paraId="6CEE79F8">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0～15</w:t>
            </w:r>
          </w:p>
        </w:tc>
      </w:tr>
    </w:tbl>
    <w:p w14:paraId="49DAD27B">
      <w:pPr>
        <w:pStyle w:val="212"/>
        <w:rPr>
          <w:rFonts w:hint="eastAsia"/>
        </w:rPr>
      </w:pPr>
    </w:p>
    <w:p w14:paraId="3EC6E444">
      <w:pPr>
        <w:pStyle w:val="212"/>
        <w:rPr>
          <w:rFonts w:hint="eastAsia"/>
        </w:rPr>
      </w:pPr>
      <w:r>
        <w:rPr>
          <w:rFonts w:hint="eastAsia"/>
        </w:rPr>
        <w:t>沥青面层用天然砂的规格</w:t>
      </w:r>
    </w:p>
    <w:tbl>
      <w:tblPr>
        <w:tblStyle w:val="27"/>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067"/>
        <w:gridCol w:w="2287"/>
        <w:gridCol w:w="2287"/>
        <w:gridCol w:w="2285"/>
      </w:tblGrid>
      <w:tr w14:paraId="6FCE764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545" w:type="pct"/>
            <w:vMerge w:val="restart"/>
            <w:shd w:val="clear" w:color="auto" w:fill="D9E2F3" w:themeFill="accent1" w:themeFillTint="33"/>
            <w:vAlign w:val="center"/>
          </w:tcPr>
          <w:p w14:paraId="6F2FD087">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方孔筛</w:t>
            </w:r>
          </w:p>
          <w:p w14:paraId="185FC45B">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(mm)</w:t>
            </w:r>
          </w:p>
        </w:tc>
        <w:tc>
          <w:tcPr>
            <w:tcW w:w="3455" w:type="pct"/>
            <w:gridSpan w:val="3"/>
            <w:shd w:val="clear" w:color="auto" w:fill="D9E2F3" w:themeFill="accent1" w:themeFillTint="33"/>
            <w:vAlign w:val="center"/>
          </w:tcPr>
          <w:p w14:paraId="2CFC8D88">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通过各筛孔的质量百分率（％）</w:t>
            </w:r>
          </w:p>
        </w:tc>
      </w:tr>
      <w:tr w14:paraId="24C3361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545" w:type="pct"/>
            <w:vMerge w:val="continue"/>
            <w:shd w:val="clear" w:color="auto" w:fill="D9E2F3" w:themeFill="accent1" w:themeFillTint="33"/>
            <w:vAlign w:val="center"/>
          </w:tcPr>
          <w:p w14:paraId="5E9C0311">
            <w:pPr>
              <w:widowControl/>
              <w:jc w:val="left"/>
              <w:rPr>
                <w:rFonts w:hint="eastAsia" w:ascii="仿宋" w:hAnsi="仿宋" w:eastAsia="仿宋" w:cs="仿宋_GB2312"/>
                <w:kern w:val="0"/>
                <w:sz w:val="21"/>
                <w:szCs w:val="21"/>
              </w:rPr>
            </w:pPr>
          </w:p>
        </w:tc>
        <w:tc>
          <w:tcPr>
            <w:tcW w:w="1152" w:type="pct"/>
            <w:shd w:val="clear" w:color="auto" w:fill="D9E2F3" w:themeFill="accent1" w:themeFillTint="33"/>
            <w:vAlign w:val="center"/>
          </w:tcPr>
          <w:p w14:paraId="222E8077">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粗砂</w:t>
            </w:r>
          </w:p>
        </w:tc>
        <w:tc>
          <w:tcPr>
            <w:tcW w:w="1152" w:type="pct"/>
            <w:shd w:val="clear" w:color="auto" w:fill="D9E2F3" w:themeFill="accent1" w:themeFillTint="33"/>
            <w:vAlign w:val="center"/>
          </w:tcPr>
          <w:p w14:paraId="6D030E2C">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中砂</w:t>
            </w:r>
          </w:p>
        </w:tc>
        <w:tc>
          <w:tcPr>
            <w:tcW w:w="1151" w:type="pct"/>
            <w:shd w:val="clear" w:color="auto" w:fill="D9E2F3" w:themeFill="accent1" w:themeFillTint="33"/>
            <w:vAlign w:val="center"/>
          </w:tcPr>
          <w:p w14:paraId="2943AFFD">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细砂</w:t>
            </w:r>
          </w:p>
        </w:tc>
      </w:tr>
      <w:tr w14:paraId="3084BB7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45" w:type="pct"/>
            <w:vAlign w:val="center"/>
          </w:tcPr>
          <w:p w14:paraId="6FFE8DCE">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9.5</w:t>
            </w:r>
          </w:p>
        </w:tc>
        <w:tc>
          <w:tcPr>
            <w:tcW w:w="1152" w:type="pct"/>
            <w:vAlign w:val="center"/>
          </w:tcPr>
          <w:p w14:paraId="1393114C">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100</w:t>
            </w:r>
          </w:p>
        </w:tc>
        <w:tc>
          <w:tcPr>
            <w:tcW w:w="1152" w:type="pct"/>
            <w:vAlign w:val="center"/>
          </w:tcPr>
          <w:p w14:paraId="0C0B5506">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100</w:t>
            </w:r>
          </w:p>
        </w:tc>
        <w:tc>
          <w:tcPr>
            <w:tcW w:w="1151" w:type="pct"/>
            <w:vAlign w:val="center"/>
          </w:tcPr>
          <w:p w14:paraId="29C97470">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100</w:t>
            </w:r>
          </w:p>
        </w:tc>
      </w:tr>
      <w:tr w14:paraId="13FF7F9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45" w:type="pct"/>
            <w:vAlign w:val="center"/>
          </w:tcPr>
          <w:p w14:paraId="6F178DDA">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4.75</w:t>
            </w:r>
          </w:p>
        </w:tc>
        <w:tc>
          <w:tcPr>
            <w:tcW w:w="1152" w:type="pct"/>
            <w:vAlign w:val="center"/>
          </w:tcPr>
          <w:p w14:paraId="75A9E00D">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90～100</w:t>
            </w:r>
          </w:p>
        </w:tc>
        <w:tc>
          <w:tcPr>
            <w:tcW w:w="1152" w:type="pct"/>
            <w:vAlign w:val="center"/>
          </w:tcPr>
          <w:p w14:paraId="1105364E">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90～100</w:t>
            </w:r>
          </w:p>
        </w:tc>
        <w:tc>
          <w:tcPr>
            <w:tcW w:w="1151" w:type="pct"/>
            <w:vAlign w:val="center"/>
          </w:tcPr>
          <w:p w14:paraId="10011140">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90～100</w:t>
            </w:r>
          </w:p>
        </w:tc>
      </w:tr>
      <w:tr w14:paraId="4927D56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45" w:type="pct"/>
            <w:vAlign w:val="center"/>
          </w:tcPr>
          <w:p w14:paraId="4BCEBEAA">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2.36</w:t>
            </w:r>
          </w:p>
        </w:tc>
        <w:tc>
          <w:tcPr>
            <w:tcW w:w="1152" w:type="pct"/>
            <w:vAlign w:val="center"/>
          </w:tcPr>
          <w:p w14:paraId="55754E6E">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65～95</w:t>
            </w:r>
          </w:p>
        </w:tc>
        <w:tc>
          <w:tcPr>
            <w:tcW w:w="1152" w:type="pct"/>
            <w:vAlign w:val="center"/>
          </w:tcPr>
          <w:p w14:paraId="104EC787">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75～90</w:t>
            </w:r>
          </w:p>
        </w:tc>
        <w:tc>
          <w:tcPr>
            <w:tcW w:w="1151" w:type="pct"/>
            <w:vAlign w:val="center"/>
          </w:tcPr>
          <w:p w14:paraId="3949394B">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85～100</w:t>
            </w:r>
          </w:p>
        </w:tc>
      </w:tr>
      <w:tr w14:paraId="2F9075C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45" w:type="pct"/>
            <w:vAlign w:val="center"/>
          </w:tcPr>
          <w:p w14:paraId="1831A9A1">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1.18</w:t>
            </w:r>
          </w:p>
        </w:tc>
        <w:tc>
          <w:tcPr>
            <w:tcW w:w="1152" w:type="pct"/>
            <w:vAlign w:val="center"/>
          </w:tcPr>
          <w:p w14:paraId="44455297">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35～65</w:t>
            </w:r>
          </w:p>
        </w:tc>
        <w:tc>
          <w:tcPr>
            <w:tcW w:w="1152" w:type="pct"/>
            <w:vAlign w:val="center"/>
          </w:tcPr>
          <w:p w14:paraId="327E412D">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50～90</w:t>
            </w:r>
          </w:p>
        </w:tc>
        <w:tc>
          <w:tcPr>
            <w:tcW w:w="1151" w:type="pct"/>
            <w:vAlign w:val="center"/>
          </w:tcPr>
          <w:p w14:paraId="3097186A">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75～100</w:t>
            </w:r>
          </w:p>
        </w:tc>
      </w:tr>
      <w:tr w14:paraId="089DFEC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45" w:type="pct"/>
            <w:vAlign w:val="center"/>
          </w:tcPr>
          <w:p w14:paraId="5402E98C">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0.6</w:t>
            </w:r>
          </w:p>
        </w:tc>
        <w:tc>
          <w:tcPr>
            <w:tcW w:w="1152" w:type="pct"/>
            <w:vAlign w:val="center"/>
          </w:tcPr>
          <w:p w14:paraId="0EC677AE">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15～30</w:t>
            </w:r>
          </w:p>
        </w:tc>
        <w:tc>
          <w:tcPr>
            <w:tcW w:w="1152" w:type="pct"/>
            <w:vAlign w:val="center"/>
          </w:tcPr>
          <w:p w14:paraId="6EE9FD30">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30～60</w:t>
            </w:r>
          </w:p>
        </w:tc>
        <w:tc>
          <w:tcPr>
            <w:tcW w:w="1151" w:type="pct"/>
            <w:vAlign w:val="center"/>
          </w:tcPr>
          <w:p w14:paraId="21A3165F">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60～84</w:t>
            </w:r>
          </w:p>
        </w:tc>
      </w:tr>
      <w:tr w14:paraId="2AC79F4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45" w:type="pct"/>
            <w:vAlign w:val="center"/>
          </w:tcPr>
          <w:p w14:paraId="3043B79D">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0.3</w:t>
            </w:r>
          </w:p>
        </w:tc>
        <w:tc>
          <w:tcPr>
            <w:tcW w:w="1152" w:type="pct"/>
            <w:vAlign w:val="center"/>
          </w:tcPr>
          <w:p w14:paraId="30E7D907">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5～20</w:t>
            </w:r>
          </w:p>
        </w:tc>
        <w:tc>
          <w:tcPr>
            <w:tcW w:w="1152" w:type="pct"/>
            <w:vAlign w:val="center"/>
          </w:tcPr>
          <w:p w14:paraId="497DB6F6">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8～30</w:t>
            </w:r>
          </w:p>
        </w:tc>
        <w:tc>
          <w:tcPr>
            <w:tcW w:w="1151" w:type="pct"/>
            <w:vAlign w:val="center"/>
          </w:tcPr>
          <w:p w14:paraId="76E0D7E7">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15～45</w:t>
            </w:r>
          </w:p>
        </w:tc>
      </w:tr>
      <w:tr w14:paraId="51BB7E9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45" w:type="pct"/>
            <w:vAlign w:val="center"/>
          </w:tcPr>
          <w:p w14:paraId="4735F8B3">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0.15</w:t>
            </w:r>
          </w:p>
        </w:tc>
        <w:tc>
          <w:tcPr>
            <w:tcW w:w="1152" w:type="pct"/>
            <w:vAlign w:val="center"/>
          </w:tcPr>
          <w:p w14:paraId="7C92D4AC">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0～10</w:t>
            </w:r>
          </w:p>
        </w:tc>
        <w:tc>
          <w:tcPr>
            <w:tcW w:w="1152" w:type="pct"/>
            <w:vAlign w:val="center"/>
          </w:tcPr>
          <w:p w14:paraId="27F5CF09">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0～10</w:t>
            </w:r>
          </w:p>
        </w:tc>
        <w:tc>
          <w:tcPr>
            <w:tcW w:w="1151" w:type="pct"/>
            <w:vAlign w:val="center"/>
          </w:tcPr>
          <w:p w14:paraId="1C144C30">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0～10</w:t>
            </w:r>
          </w:p>
        </w:tc>
      </w:tr>
      <w:tr w14:paraId="7F480B8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45" w:type="pct"/>
            <w:vAlign w:val="center"/>
          </w:tcPr>
          <w:p w14:paraId="20F446B1">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0.075</w:t>
            </w:r>
          </w:p>
        </w:tc>
        <w:tc>
          <w:tcPr>
            <w:tcW w:w="1152" w:type="pct"/>
            <w:vAlign w:val="center"/>
          </w:tcPr>
          <w:p w14:paraId="5648B3FD">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0～5</w:t>
            </w:r>
          </w:p>
        </w:tc>
        <w:tc>
          <w:tcPr>
            <w:tcW w:w="1152" w:type="pct"/>
            <w:vAlign w:val="center"/>
          </w:tcPr>
          <w:p w14:paraId="3E2DD9E3">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0～5</w:t>
            </w:r>
          </w:p>
        </w:tc>
        <w:tc>
          <w:tcPr>
            <w:tcW w:w="1151" w:type="pct"/>
            <w:vAlign w:val="center"/>
          </w:tcPr>
          <w:p w14:paraId="000C9F4D">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0～5</w:t>
            </w:r>
          </w:p>
        </w:tc>
      </w:tr>
    </w:tbl>
    <w:p w14:paraId="09EF7A50">
      <w:pPr>
        <w:pStyle w:val="208"/>
        <w:ind w:firstLine="482" w:firstLineChars="200"/>
        <w:rPr>
          <w:rFonts w:hint="eastAsia"/>
        </w:rPr>
      </w:pPr>
      <w:r>
        <w:rPr>
          <w:rFonts w:hint="eastAsia"/>
        </w:rPr>
        <w:t>填料</w:t>
      </w:r>
    </w:p>
    <w:p w14:paraId="433413C6">
      <w:pPr>
        <w:pStyle w:val="77"/>
        <w:rPr>
          <w:rFonts w:hint="eastAsia" w:ascii="仿宋" w:hAnsi="仿宋" w:eastAsia="仿宋"/>
        </w:rPr>
      </w:pPr>
      <w:r>
        <w:rPr>
          <w:rFonts w:hint="eastAsia" w:ascii="仿宋" w:hAnsi="仿宋" w:eastAsia="仿宋"/>
        </w:rPr>
        <w:t>填料必须采用石灰岩或岩浆岩等憎水性石料经过磨细得到的矿粉，原石料中的杂质应除净。矿粉要求干燥、洁净，能自由地从矿粉仓中流出，其质量要求要符合《公路沥青路面施工技术规范》（JTG F40-2017）中表4.10.1的规定见下表：</w:t>
      </w:r>
    </w:p>
    <w:p w14:paraId="3FE75C0F">
      <w:pPr>
        <w:pStyle w:val="212"/>
        <w:rPr>
          <w:rFonts w:hint="eastAsia"/>
        </w:rPr>
      </w:pPr>
      <w:r>
        <w:rPr>
          <w:rFonts w:hint="eastAsia"/>
        </w:rPr>
        <w:t>沥青路面用矿粉的质量技术要求</w:t>
      </w:r>
    </w:p>
    <w:tbl>
      <w:tblPr>
        <w:tblStyle w:val="27"/>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866"/>
        <w:gridCol w:w="4189"/>
        <w:gridCol w:w="2871"/>
      </w:tblGrid>
      <w:tr w14:paraId="160BC33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454" w:hRule="atLeast"/>
          <w:jc w:val="center"/>
        </w:trPr>
        <w:tc>
          <w:tcPr>
            <w:tcW w:w="1444" w:type="pct"/>
            <w:vAlign w:val="center"/>
          </w:tcPr>
          <w:p w14:paraId="29C39014">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视密度</w:t>
            </w:r>
          </w:p>
        </w:tc>
        <w:tc>
          <w:tcPr>
            <w:tcW w:w="2110" w:type="pct"/>
            <w:vAlign w:val="center"/>
          </w:tcPr>
          <w:p w14:paraId="4E7B26EE">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不小于(t/ m</w:t>
            </w:r>
            <w:r>
              <w:rPr>
                <w:rFonts w:hint="eastAsia" w:ascii="仿宋" w:hAnsi="仿宋" w:eastAsia="仿宋" w:cs="仿宋_GB2312"/>
                <w:kern w:val="0"/>
                <w:sz w:val="21"/>
                <w:szCs w:val="21"/>
                <w:vertAlign w:val="superscript"/>
              </w:rPr>
              <w:t>3</w:t>
            </w:r>
            <w:r>
              <w:rPr>
                <w:rFonts w:hint="eastAsia" w:ascii="仿宋" w:hAnsi="仿宋" w:eastAsia="仿宋" w:cs="仿宋_GB2312"/>
                <w:kern w:val="0"/>
                <w:sz w:val="21"/>
                <w:szCs w:val="21"/>
              </w:rPr>
              <w:t>)</w:t>
            </w:r>
          </w:p>
        </w:tc>
        <w:tc>
          <w:tcPr>
            <w:tcW w:w="1446" w:type="pct"/>
            <w:vAlign w:val="center"/>
          </w:tcPr>
          <w:p w14:paraId="6591663B">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2.45</w:t>
            </w:r>
          </w:p>
        </w:tc>
      </w:tr>
      <w:tr w14:paraId="54ED376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4" w:type="pct"/>
            <w:vAlign w:val="center"/>
          </w:tcPr>
          <w:p w14:paraId="5C4E0B3F">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含水量</w:t>
            </w:r>
          </w:p>
        </w:tc>
        <w:tc>
          <w:tcPr>
            <w:tcW w:w="2110" w:type="pct"/>
            <w:vAlign w:val="center"/>
          </w:tcPr>
          <w:p w14:paraId="3912550A">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不大于(%)</w:t>
            </w:r>
          </w:p>
        </w:tc>
        <w:tc>
          <w:tcPr>
            <w:tcW w:w="1446" w:type="pct"/>
            <w:vAlign w:val="center"/>
          </w:tcPr>
          <w:p w14:paraId="0F5542B8">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1</w:t>
            </w:r>
          </w:p>
        </w:tc>
      </w:tr>
      <w:tr w14:paraId="3962B2B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4" w:type="pct"/>
            <w:vMerge w:val="restart"/>
            <w:vAlign w:val="center"/>
          </w:tcPr>
          <w:p w14:paraId="2B734ADA">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粒度范围</w:t>
            </w:r>
          </w:p>
        </w:tc>
        <w:tc>
          <w:tcPr>
            <w:tcW w:w="2110" w:type="pct"/>
            <w:vAlign w:val="center"/>
          </w:tcPr>
          <w:p w14:paraId="010B5E46">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&lt;0.6mm    (%)</w:t>
            </w:r>
          </w:p>
        </w:tc>
        <w:tc>
          <w:tcPr>
            <w:tcW w:w="1446" w:type="pct"/>
            <w:vAlign w:val="center"/>
          </w:tcPr>
          <w:p w14:paraId="2C2C4513">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100</w:t>
            </w:r>
          </w:p>
        </w:tc>
      </w:tr>
      <w:tr w14:paraId="6E3DE21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4" w:type="pct"/>
            <w:vMerge w:val="continue"/>
            <w:vAlign w:val="center"/>
          </w:tcPr>
          <w:p w14:paraId="1A6FAA8E">
            <w:pPr>
              <w:widowControl/>
              <w:jc w:val="left"/>
              <w:rPr>
                <w:rFonts w:hint="eastAsia" w:ascii="仿宋" w:hAnsi="仿宋" w:eastAsia="仿宋" w:cs="仿宋_GB2312"/>
                <w:kern w:val="0"/>
                <w:sz w:val="21"/>
                <w:szCs w:val="21"/>
              </w:rPr>
            </w:pPr>
          </w:p>
        </w:tc>
        <w:tc>
          <w:tcPr>
            <w:tcW w:w="2110" w:type="pct"/>
            <w:vAlign w:val="center"/>
          </w:tcPr>
          <w:p w14:paraId="48EEDA0F">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&lt;0.15mm   (%)</w:t>
            </w:r>
          </w:p>
        </w:tc>
        <w:tc>
          <w:tcPr>
            <w:tcW w:w="1446" w:type="pct"/>
            <w:vAlign w:val="center"/>
          </w:tcPr>
          <w:p w14:paraId="0E304E70">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90～100</w:t>
            </w:r>
          </w:p>
        </w:tc>
      </w:tr>
      <w:tr w14:paraId="3CB5647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4" w:type="pct"/>
            <w:vMerge w:val="continue"/>
            <w:vAlign w:val="center"/>
          </w:tcPr>
          <w:p w14:paraId="5718AB62">
            <w:pPr>
              <w:widowControl/>
              <w:jc w:val="left"/>
              <w:rPr>
                <w:rFonts w:hint="eastAsia" w:ascii="仿宋" w:hAnsi="仿宋" w:eastAsia="仿宋" w:cs="仿宋_GB2312"/>
                <w:kern w:val="0"/>
                <w:sz w:val="21"/>
                <w:szCs w:val="21"/>
              </w:rPr>
            </w:pPr>
          </w:p>
        </w:tc>
        <w:tc>
          <w:tcPr>
            <w:tcW w:w="2110" w:type="pct"/>
            <w:vAlign w:val="center"/>
          </w:tcPr>
          <w:p w14:paraId="6873ACA2">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&lt;0.075mm  (%)</w:t>
            </w:r>
          </w:p>
        </w:tc>
        <w:tc>
          <w:tcPr>
            <w:tcW w:w="1446" w:type="pct"/>
            <w:vAlign w:val="center"/>
          </w:tcPr>
          <w:p w14:paraId="38B2C17B">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70～100</w:t>
            </w:r>
          </w:p>
        </w:tc>
      </w:tr>
      <w:tr w14:paraId="533953E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4" w:type="pct"/>
            <w:vAlign w:val="center"/>
          </w:tcPr>
          <w:p w14:paraId="15DC592A">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外观</w:t>
            </w:r>
          </w:p>
        </w:tc>
        <w:tc>
          <w:tcPr>
            <w:tcW w:w="2110" w:type="pct"/>
            <w:vAlign w:val="center"/>
          </w:tcPr>
          <w:p w14:paraId="4155669E">
            <w:pPr>
              <w:widowControl/>
              <w:rPr>
                <w:rFonts w:hint="eastAsia" w:ascii="仿宋" w:hAnsi="仿宋" w:eastAsia="仿宋" w:cs="仿宋_GB2312"/>
                <w:kern w:val="0"/>
                <w:sz w:val="21"/>
                <w:szCs w:val="21"/>
              </w:rPr>
            </w:pPr>
            <w:r>
              <w:rPr>
                <w:rFonts w:hint="eastAsia" w:ascii="仿宋" w:hAnsi="仿宋" w:eastAsia="仿宋" w:cs="仿宋_GB2312"/>
                <w:kern w:val="0"/>
                <w:sz w:val="21"/>
                <w:szCs w:val="21"/>
              </w:rPr>
              <w:t>　</w:t>
            </w:r>
          </w:p>
        </w:tc>
        <w:tc>
          <w:tcPr>
            <w:tcW w:w="1446" w:type="pct"/>
            <w:vAlign w:val="center"/>
          </w:tcPr>
          <w:p w14:paraId="044E8462">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无团粒结块</w:t>
            </w:r>
          </w:p>
        </w:tc>
      </w:tr>
      <w:tr w14:paraId="5A4A1C8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4" w:type="pct"/>
            <w:vAlign w:val="center"/>
          </w:tcPr>
          <w:p w14:paraId="5955B15E">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亲水系数</w:t>
            </w:r>
          </w:p>
        </w:tc>
        <w:tc>
          <w:tcPr>
            <w:tcW w:w="2110" w:type="pct"/>
            <w:vAlign w:val="center"/>
          </w:tcPr>
          <w:p w14:paraId="4782502B">
            <w:pPr>
              <w:widowControl/>
              <w:rPr>
                <w:rFonts w:hint="eastAsia" w:ascii="仿宋" w:hAnsi="仿宋" w:eastAsia="仿宋" w:cs="仿宋_GB2312"/>
                <w:kern w:val="0"/>
                <w:sz w:val="21"/>
                <w:szCs w:val="21"/>
              </w:rPr>
            </w:pPr>
            <w:r>
              <w:rPr>
                <w:rFonts w:hint="eastAsia" w:ascii="仿宋" w:hAnsi="仿宋" w:eastAsia="仿宋" w:cs="仿宋_GB2312"/>
                <w:kern w:val="0"/>
                <w:sz w:val="21"/>
                <w:szCs w:val="21"/>
              </w:rPr>
              <w:t>　</w:t>
            </w:r>
          </w:p>
        </w:tc>
        <w:tc>
          <w:tcPr>
            <w:tcW w:w="1446" w:type="pct"/>
            <w:vAlign w:val="center"/>
          </w:tcPr>
          <w:p w14:paraId="6D4A6679">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&lt;1</w:t>
            </w:r>
          </w:p>
        </w:tc>
      </w:tr>
      <w:tr w14:paraId="5C9604B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4" w:type="pct"/>
            <w:vAlign w:val="center"/>
          </w:tcPr>
          <w:p w14:paraId="68354886">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塑性指数</w:t>
            </w:r>
          </w:p>
        </w:tc>
        <w:tc>
          <w:tcPr>
            <w:tcW w:w="2110" w:type="pct"/>
            <w:vAlign w:val="center"/>
          </w:tcPr>
          <w:p w14:paraId="5F2C2295">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w:t>
            </w:r>
          </w:p>
        </w:tc>
        <w:tc>
          <w:tcPr>
            <w:tcW w:w="1446" w:type="pct"/>
            <w:vAlign w:val="center"/>
          </w:tcPr>
          <w:p w14:paraId="3B37892B">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&lt;4</w:t>
            </w:r>
          </w:p>
        </w:tc>
      </w:tr>
      <w:tr w14:paraId="60933B1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4" w:type="pct"/>
            <w:vAlign w:val="center"/>
          </w:tcPr>
          <w:p w14:paraId="023F04D9">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加热安定性</w:t>
            </w:r>
          </w:p>
        </w:tc>
        <w:tc>
          <w:tcPr>
            <w:tcW w:w="2110" w:type="pct"/>
            <w:vAlign w:val="center"/>
          </w:tcPr>
          <w:p w14:paraId="46A9A6B0">
            <w:pPr>
              <w:widowControl/>
              <w:rPr>
                <w:rFonts w:hint="eastAsia" w:ascii="仿宋" w:hAnsi="仿宋" w:eastAsia="仿宋" w:cs="仿宋_GB2312"/>
                <w:kern w:val="0"/>
                <w:sz w:val="21"/>
                <w:szCs w:val="21"/>
              </w:rPr>
            </w:pPr>
            <w:r>
              <w:rPr>
                <w:rFonts w:hint="eastAsia" w:ascii="仿宋" w:hAnsi="仿宋" w:eastAsia="仿宋" w:cs="仿宋_GB2312"/>
                <w:kern w:val="0"/>
                <w:sz w:val="21"/>
                <w:szCs w:val="21"/>
              </w:rPr>
              <w:t>　</w:t>
            </w:r>
          </w:p>
        </w:tc>
        <w:tc>
          <w:tcPr>
            <w:tcW w:w="1446" w:type="pct"/>
            <w:vAlign w:val="center"/>
          </w:tcPr>
          <w:p w14:paraId="756C8E12">
            <w:pPr>
              <w:widowControl/>
              <w:jc w:val="center"/>
              <w:rPr>
                <w:rFonts w:hint="eastAsia" w:ascii="仿宋" w:hAnsi="仿宋" w:eastAsia="仿宋" w:cs="仿宋_GB2312"/>
                <w:kern w:val="0"/>
                <w:sz w:val="21"/>
                <w:szCs w:val="21"/>
              </w:rPr>
            </w:pPr>
            <w:r>
              <w:rPr>
                <w:rFonts w:hint="eastAsia" w:ascii="仿宋" w:hAnsi="仿宋" w:eastAsia="仿宋" w:cs="仿宋_GB2312"/>
                <w:kern w:val="0"/>
                <w:sz w:val="21"/>
                <w:szCs w:val="21"/>
              </w:rPr>
              <w:t>实测记录</w:t>
            </w:r>
          </w:p>
        </w:tc>
      </w:tr>
    </w:tbl>
    <w:p w14:paraId="0B4F4A50">
      <w:pPr>
        <w:pStyle w:val="212"/>
        <w:rPr>
          <w:rFonts w:hint="eastAsia"/>
        </w:rPr>
      </w:pPr>
    </w:p>
    <w:p w14:paraId="7BE287D2">
      <w:pPr>
        <w:pStyle w:val="77"/>
        <w:rPr>
          <w:rFonts w:hint="eastAsia" w:ascii="仿宋" w:hAnsi="仿宋" w:eastAsia="仿宋"/>
        </w:rPr>
      </w:pPr>
      <w:r>
        <w:rPr>
          <w:rFonts w:hint="eastAsia" w:ascii="仿宋" w:hAnsi="仿宋" w:eastAsia="仿宋"/>
        </w:rPr>
        <w:t>沥青混合料马歇尔试验技术指标要符合《公路沥青路面施工技术规范》（JTG F40-2017）表5.3.3要求。</w:t>
      </w:r>
    </w:p>
    <w:p w14:paraId="3C817C4C">
      <w:pPr>
        <w:pStyle w:val="208"/>
        <w:ind w:firstLine="482" w:firstLineChars="200"/>
        <w:rPr>
          <w:rFonts w:hint="eastAsia"/>
        </w:rPr>
      </w:pPr>
      <w:r>
        <w:rPr>
          <w:rFonts w:hint="eastAsia"/>
        </w:rPr>
        <w:t>黏层油</w:t>
      </w:r>
    </w:p>
    <w:p w14:paraId="4E8A56EF">
      <w:pPr>
        <w:pStyle w:val="77"/>
        <w:rPr>
          <w:rFonts w:hint="eastAsia" w:ascii="仿宋" w:hAnsi="仿宋" w:eastAsia="仿宋"/>
        </w:rPr>
      </w:pPr>
      <w:r>
        <w:rPr>
          <w:rFonts w:hint="eastAsia" w:ascii="仿宋" w:hAnsi="仿宋" w:eastAsia="仿宋"/>
        </w:rPr>
        <w:t>铺面层前，应对下层进行清扫，浇洒黏层油，黏层油采用乳化沥青，基质沥青采用A级90号沥青，基质沥青用量0.</w:t>
      </w:r>
      <w:r>
        <w:rPr>
          <w:rFonts w:ascii="仿宋" w:hAnsi="仿宋" w:eastAsia="仿宋"/>
        </w:rPr>
        <w:t>50</w:t>
      </w:r>
      <w:r>
        <w:rPr>
          <w:rFonts w:hint="eastAsia" w:ascii="仿宋" w:hAnsi="仿宋" w:eastAsia="仿宋"/>
        </w:rPr>
        <w:t>L/m</w:t>
      </w:r>
      <w:r>
        <w:rPr>
          <w:rFonts w:hint="eastAsia" w:ascii="仿宋" w:hAnsi="仿宋" w:eastAsia="仿宋"/>
          <w:vertAlign w:val="superscript"/>
        </w:rPr>
        <w:t>2</w:t>
      </w:r>
      <w:r>
        <w:rPr>
          <w:rFonts w:hint="eastAsia" w:ascii="仿宋" w:hAnsi="仿宋" w:eastAsia="仿宋"/>
        </w:rPr>
        <w:t>。黏层的材料和施工工艺应符合《公路沥青路面施工技术规范》（JTG F40-2017）的要求。</w:t>
      </w:r>
    </w:p>
    <w:p w14:paraId="2C35FB2C">
      <w:pPr>
        <w:pStyle w:val="207"/>
        <w:ind w:firstLine="482" w:firstLineChars="200"/>
        <w:rPr>
          <w:rFonts w:hint="eastAsia"/>
        </w:rPr>
      </w:pPr>
      <w:r>
        <w:rPr>
          <w:rFonts w:hint="eastAsia"/>
        </w:rPr>
        <w:t>水泥混凝土面层材料组成设计</w:t>
      </w:r>
    </w:p>
    <w:p w14:paraId="2DF1937D">
      <w:pPr>
        <w:pStyle w:val="208"/>
        <w:ind w:firstLine="482" w:firstLineChars="200"/>
        <w:rPr>
          <w:rFonts w:hint="eastAsia"/>
        </w:rPr>
      </w:pPr>
      <w:r>
        <w:rPr>
          <w:rFonts w:hint="eastAsia"/>
        </w:rPr>
        <w:t>水泥</w:t>
      </w:r>
    </w:p>
    <w:p w14:paraId="27B3E759">
      <w:pPr>
        <w:pStyle w:val="77"/>
        <w:rPr>
          <w:rFonts w:hint="eastAsia" w:ascii="仿宋" w:hAnsi="仿宋" w:eastAsia="仿宋"/>
        </w:rPr>
      </w:pPr>
      <w:r>
        <w:rPr>
          <w:rFonts w:hint="eastAsia" w:ascii="仿宋" w:hAnsi="仿宋" w:eastAsia="仿宋"/>
        </w:rPr>
        <w:t>采用旋窑生产的道路硅酸盐水泥。应选用初凝时间0.75小时以上、终凝时间在10小时以内的产品，快硬、早强以及受潮变质的水泥不得使用。水泥要求42.5级，水灰比不大于0.46，混凝土中必须掺加1%复合引气剂,水泥混凝土路面构造深度应满足《公路水泥混凝土路面设计规范》（JTG D40-2011）表4.5.6的要求。水泥混凝土用水泥的物理指标符合下表要求。</w:t>
      </w:r>
    </w:p>
    <w:tbl>
      <w:tblPr>
        <w:tblStyle w:val="27"/>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99"/>
        <w:gridCol w:w="1697"/>
        <w:gridCol w:w="1957"/>
        <w:gridCol w:w="4773"/>
      </w:tblGrid>
      <w:tr w14:paraId="637846F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tblHeader/>
          <w:jc w:val="center"/>
        </w:trPr>
        <w:tc>
          <w:tcPr>
            <w:tcW w:w="755" w:type="pct"/>
            <w:shd w:val="clear" w:color="auto" w:fill="D9E2F3" w:themeFill="accent1" w:themeFillTint="33"/>
            <w:vAlign w:val="center"/>
          </w:tcPr>
          <w:p w14:paraId="3BBEF901">
            <w:pPr>
              <w:pStyle w:val="134"/>
              <w:spacing w:line="320" w:lineRule="exact"/>
              <w:rPr>
                <w:rFonts w:hint="eastAsia" w:ascii="仿宋" w:hAnsi="仿宋" w:eastAsia="仿宋"/>
                <w:b w:val="0"/>
                <w:bCs/>
                <w:sz w:val="21"/>
                <w:szCs w:val="21"/>
              </w:rPr>
            </w:pPr>
            <w:r>
              <w:rPr>
                <w:rFonts w:hint="eastAsia" w:ascii="仿宋" w:hAnsi="仿宋" w:eastAsia="仿宋"/>
                <w:b w:val="0"/>
                <w:bCs/>
                <w:sz w:val="21"/>
                <w:szCs w:val="21"/>
              </w:rPr>
              <w:t>项次</w:t>
            </w:r>
          </w:p>
        </w:tc>
        <w:tc>
          <w:tcPr>
            <w:tcW w:w="1841" w:type="pct"/>
            <w:gridSpan w:val="2"/>
            <w:shd w:val="clear" w:color="auto" w:fill="D9E2F3" w:themeFill="accent1" w:themeFillTint="33"/>
            <w:vAlign w:val="center"/>
          </w:tcPr>
          <w:p w14:paraId="286373A1">
            <w:pPr>
              <w:pStyle w:val="134"/>
              <w:spacing w:line="320" w:lineRule="exact"/>
              <w:rPr>
                <w:rFonts w:hint="eastAsia" w:ascii="仿宋" w:hAnsi="仿宋" w:eastAsia="仿宋"/>
                <w:b w:val="0"/>
                <w:bCs/>
                <w:sz w:val="21"/>
                <w:szCs w:val="21"/>
              </w:rPr>
            </w:pPr>
            <w:r>
              <w:rPr>
                <w:rFonts w:hint="eastAsia" w:ascii="仿宋" w:hAnsi="仿宋" w:eastAsia="仿宋"/>
                <w:b w:val="0"/>
                <w:bCs/>
                <w:sz w:val="21"/>
                <w:szCs w:val="21"/>
              </w:rPr>
              <w:t>水泥物理性能</w:t>
            </w:r>
          </w:p>
        </w:tc>
        <w:tc>
          <w:tcPr>
            <w:tcW w:w="2404" w:type="pct"/>
            <w:shd w:val="clear" w:color="auto" w:fill="D9E2F3" w:themeFill="accent1" w:themeFillTint="33"/>
            <w:vAlign w:val="center"/>
          </w:tcPr>
          <w:p w14:paraId="0A57C048">
            <w:pPr>
              <w:pStyle w:val="134"/>
              <w:spacing w:line="320" w:lineRule="exact"/>
              <w:rPr>
                <w:rFonts w:hint="eastAsia" w:ascii="仿宋" w:hAnsi="仿宋" w:eastAsia="仿宋"/>
                <w:b w:val="0"/>
                <w:bCs/>
                <w:sz w:val="21"/>
                <w:szCs w:val="21"/>
              </w:rPr>
            </w:pPr>
            <w:r>
              <w:rPr>
                <w:rFonts w:hint="eastAsia" w:ascii="仿宋" w:hAnsi="仿宋" w:eastAsia="仿宋"/>
                <w:b w:val="0"/>
                <w:bCs/>
                <w:sz w:val="21"/>
                <w:szCs w:val="21"/>
              </w:rPr>
              <w:t>指标</w:t>
            </w:r>
          </w:p>
        </w:tc>
      </w:tr>
      <w:tr w14:paraId="2813F71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55" w:type="pct"/>
            <w:vAlign w:val="center"/>
          </w:tcPr>
          <w:p w14:paraId="1848915C">
            <w:pPr>
              <w:spacing w:line="320" w:lineRule="exact"/>
              <w:jc w:val="center"/>
              <w:rPr>
                <w:rFonts w:hint="eastAsia" w:ascii="仿宋" w:hAnsi="仿宋" w:eastAsia="仿宋"/>
                <w:bCs/>
                <w:sz w:val="21"/>
                <w:szCs w:val="21"/>
              </w:rPr>
            </w:pPr>
            <w:r>
              <w:rPr>
                <w:rFonts w:hint="eastAsia" w:ascii="仿宋" w:hAnsi="仿宋" w:eastAsia="仿宋"/>
                <w:bCs/>
                <w:sz w:val="21"/>
                <w:szCs w:val="21"/>
              </w:rPr>
              <w:t>1</w:t>
            </w:r>
          </w:p>
        </w:tc>
        <w:tc>
          <w:tcPr>
            <w:tcW w:w="1841" w:type="pct"/>
            <w:gridSpan w:val="2"/>
            <w:vAlign w:val="center"/>
          </w:tcPr>
          <w:p w14:paraId="32FD3F67">
            <w:pPr>
              <w:spacing w:line="320" w:lineRule="exact"/>
              <w:jc w:val="center"/>
              <w:rPr>
                <w:rFonts w:hint="eastAsia" w:ascii="仿宋" w:hAnsi="仿宋" w:eastAsia="仿宋"/>
                <w:bCs/>
                <w:sz w:val="21"/>
                <w:szCs w:val="21"/>
              </w:rPr>
            </w:pPr>
            <w:r>
              <w:rPr>
                <w:rFonts w:hint="eastAsia" w:ascii="仿宋" w:hAnsi="仿宋" w:eastAsia="仿宋"/>
                <w:bCs/>
                <w:sz w:val="21"/>
                <w:szCs w:val="21"/>
              </w:rPr>
              <w:t>出磨时安定性</w:t>
            </w:r>
          </w:p>
        </w:tc>
        <w:tc>
          <w:tcPr>
            <w:tcW w:w="2404" w:type="pct"/>
            <w:vAlign w:val="center"/>
          </w:tcPr>
          <w:p w14:paraId="3876291C">
            <w:pPr>
              <w:spacing w:line="320" w:lineRule="exact"/>
              <w:jc w:val="center"/>
              <w:rPr>
                <w:rFonts w:hint="eastAsia" w:ascii="仿宋" w:hAnsi="仿宋" w:eastAsia="仿宋"/>
                <w:bCs/>
                <w:sz w:val="21"/>
                <w:szCs w:val="21"/>
              </w:rPr>
            </w:pPr>
            <w:r>
              <w:rPr>
                <w:rFonts w:hint="eastAsia" w:ascii="仿宋" w:hAnsi="仿宋" w:eastAsia="仿宋"/>
                <w:bCs/>
                <w:sz w:val="21"/>
                <w:szCs w:val="21"/>
              </w:rPr>
              <w:t>蒸煮法检验必须合格</w:t>
            </w:r>
          </w:p>
        </w:tc>
      </w:tr>
      <w:tr w14:paraId="1835743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55" w:type="pct"/>
            <w:vMerge w:val="restart"/>
            <w:vAlign w:val="center"/>
          </w:tcPr>
          <w:p w14:paraId="20FAA74A">
            <w:pPr>
              <w:spacing w:line="320" w:lineRule="exact"/>
              <w:jc w:val="center"/>
              <w:rPr>
                <w:rFonts w:hint="eastAsia" w:ascii="仿宋" w:hAnsi="仿宋" w:eastAsia="仿宋"/>
                <w:bCs/>
                <w:sz w:val="21"/>
                <w:szCs w:val="21"/>
              </w:rPr>
            </w:pPr>
            <w:r>
              <w:rPr>
                <w:rFonts w:hint="eastAsia" w:ascii="仿宋" w:hAnsi="仿宋" w:eastAsia="仿宋"/>
                <w:bCs/>
                <w:sz w:val="21"/>
                <w:szCs w:val="21"/>
              </w:rPr>
              <w:t>2</w:t>
            </w:r>
          </w:p>
        </w:tc>
        <w:tc>
          <w:tcPr>
            <w:tcW w:w="855" w:type="pct"/>
            <w:vMerge w:val="restart"/>
            <w:vAlign w:val="center"/>
          </w:tcPr>
          <w:p w14:paraId="4AF0805F">
            <w:pPr>
              <w:spacing w:line="320" w:lineRule="exact"/>
              <w:jc w:val="center"/>
              <w:rPr>
                <w:rFonts w:hint="eastAsia" w:ascii="仿宋" w:hAnsi="仿宋" w:eastAsia="仿宋"/>
                <w:bCs/>
                <w:sz w:val="21"/>
                <w:szCs w:val="21"/>
              </w:rPr>
            </w:pPr>
            <w:r>
              <w:rPr>
                <w:rFonts w:hint="eastAsia" w:ascii="仿宋" w:hAnsi="仿宋" w:eastAsia="仿宋"/>
                <w:bCs/>
                <w:sz w:val="21"/>
                <w:szCs w:val="21"/>
              </w:rPr>
              <w:t>凝结时间（h）</w:t>
            </w:r>
          </w:p>
        </w:tc>
        <w:tc>
          <w:tcPr>
            <w:tcW w:w="986" w:type="pct"/>
            <w:vAlign w:val="center"/>
          </w:tcPr>
          <w:p w14:paraId="0779A916">
            <w:pPr>
              <w:spacing w:line="320" w:lineRule="exact"/>
              <w:jc w:val="center"/>
              <w:rPr>
                <w:rFonts w:hint="eastAsia" w:ascii="仿宋" w:hAnsi="仿宋" w:eastAsia="仿宋"/>
                <w:bCs/>
                <w:sz w:val="21"/>
                <w:szCs w:val="21"/>
              </w:rPr>
            </w:pPr>
            <w:r>
              <w:rPr>
                <w:rFonts w:hint="eastAsia" w:ascii="仿宋" w:hAnsi="仿宋" w:eastAsia="仿宋"/>
                <w:bCs/>
                <w:sz w:val="21"/>
                <w:szCs w:val="21"/>
              </w:rPr>
              <w:t>初凝时间≥</w:t>
            </w:r>
          </w:p>
        </w:tc>
        <w:tc>
          <w:tcPr>
            <w:tcW w:w="2404" w:type="pct"/>
            <w:vAlign w:val="center"/>
          </w:tcPr>
          <w:p w14:paraId="61586C09">
            <w:pPr>
              <w:spacing w:line="320" w:lineRule="exact"/>
              <w:jc w:val="center"/>
              <w:rPr>
                <w:rFonts w:hint="eastAsia" w:ascii="仿宋" w:hAnsi="仿宋" w:eastAsia="仿宋"/>
                <w:bCs/>
                <w:sz w:val="21"/>
                <w:szCs w:val="21"/>
              </w:rPr>
            </w:pPr>
            <w:r>
              <w:rPr>
                <w:rFonts w:hint="eastAsia" w:ascii="仿宋" w:hAnsi="仿宋" w:eastAsia="仿宋"/>
                <w:bCs/>
                <w:sz w:val="21"/>
                <w:szCs w:val="21"/>
              </w:rPr>
              <w:t>0.75</w:t>
            </w:r>
          </w:p>
        </w:tc>
      </w:tr>
      <w:tr w14:paraId="609E279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55" w:type="pct"/>
            <w:vMerge w:val="continue"/>
            <w:vAlign w:val="center"/>
          </w:tcPr>
          <w:p w14:paraId="55B7CE0C">
            <w:pPr>
              <w:spacing w:line="320" w:lineRule="exact"/>
              <w:jc w:val="center"/>
              <w:rPr>
                <w:rFonts w:hint="eastAsia" w:ascii="仿宋" w:hAnsi="仿宋" w:eastAsia="仿宋"/>
                <w:bCs/>
                <w:sz w:val="21"/>
                <w:szCs w:val="21"/>
              </w:rPr>
            </w:pPr>
          </w:p>
        </w:tc>
        <w:tc>
          <w:tcPr>
            <w:tcW w:w="855" w:type="pct"/>
            <w:vMerge w:val="continue"/>
            <w:vAlign w:val="center"/>
          </w:tcPr>
          <w:p w14:paraId="0768966D">
            <w:pPr>
              <w:spacing w:line="320" w:lineRule="exact"/>
              <w:jc w:val="center"/>
              <w:rPr>
                <w:rFonts w:hint="eastAsia" w:ascii="仿宋" w:hAnsi="仿宋" w:eastAsia="仿宋"/>
                <w:bCs/>
                <w:sz w:val="21"/>
                <w:szCs w:val="21"/>
              </w:rPr>
            </w:pPr>
          </w:p>
        </w:tc>
        <w:tc>
          <w:tcPr>
            <w:tcW w:w="986" w:type="pct"/>
            <w:vAlign w:val="center"/>
          </w:tcPr>
          <w:p w14:paraId="525F94EF">
            <w:pPr>
              <w:spacing w:line="320" w:lineRule="exact"/>
              <w:jc w:val="center"/>
              <w:rPr>
                <w:rFonts w:hint="eastAsia" w:ascii="仿宋" w:hAnsi="仿宋" w:eastAsia="仿宋"/>
                <w:bCs/>
                <w:sz w:val="21"/>
                <w:szCs w:val="21"/>
              </w:rPr>
            </w:pPr>
            <w:r>
              <w:rPr>
                <w:rFonts w:hint="eastAsia" w:ascii="仿宋" w:hAnsi="仿宋" w:eastAsia="仿宋"/>
                <w:bCs/>
                <w:sz w:val="21"/>
                <w:szCs w:val="21"/>
              </w:rPr>
              <w:t>终凝时间≤</w:t>
            </w:r>
          </w:p>
        </w:tc>
        <w:tc>
          <w:tcPr>
            <w:tcW w:w="2404" w:type="pct"/>
            <w:vAlign w:val="center"/>
          </w:tcPr>
          <w:p w14:paraId="37E17DA6">
            <w:pPr>
              <w:spacing w:line="320" w:lineRule="exact"/>
              <w:jc w:val="center"/>
              <w:rPr>
                <w:rFonts w:hint="eastAsia" w:ascii="仿宋" w:hAnsi="仿宋" w:eastAsia="仿宋"/>
                <w:bCs/>
                <w:sz w:val="21"/>
                <w:szCs w:val="21"/>
              </w:rPr>
            </w:pPr>
            <w:r>
              <w:rPr>
                <w:rFonts w:hint="eastAsia" w:ascii="仿宋" w:hAnsi="仿宋" w:eastAsia="仿宋"/>
                <w:bCs/>
                <w:sz w:val="21"/>
                <w:szCs w:val="21"/>
              </w:rPr>
              <w:t>10</w:t>
            </w:r>
          </w:p>
        </w:tc>
      </w:tr>
      <w:tr w14:paraId="17C485A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55" w:type="pct"/>
            <w:vAlign w:val="center"/>
          </w:tcPr>
          <w:p w14:paraId="2E60AC7C">
            <w:pPr>
              <w:spacing w:line="320" w:lineRule="exact"/>
              <w:jc w:val="center"/>
              <w:rPr>
                <w:rFonts w:hint="eastAsia" w:ascii="仿宋" w:hAnsi="仿宋" w:eastAsia="仿宋"/>
                <w:bCs/>
                <w:sz w:val="21"/>
                <w:szCs w:val="21"/>
              </w:rPr>
            </w:pPr>
            <w:r>
              <w:rPr>
                <w:rFonts w:hint="eastAsia" w:ascii="仿宋" w:hAnsi="仿宋" w:eastAsia="仿宋"/>
                <w:bCs/>
                <w:sz w:val="21"/>
                <w:szCs w:val="21"/>
              </w:rPr>
              <w:t>3</w:t>
            </w:r>
          </w:p>
        </w:tc>
        <w:tc>
          <w:tcPr>
            <w:tcW w:w="1841" w:type="pct"/>
            <w:gridSpan w:val="2"/>
            <w:vAlign w:val="center"/>
          </w:tcPr>
          <w:p w14:paraId="4DC5DD79">
            <w:pPr>
              <w:spacing w:line="320" w:lineRule="exact"/>
              <w:jc w:val="center"/>
              <w:rPr>
                <w:rFonts w:hint="eastAsia" w:ascii="仿宋" w:hAnsi="仿宋" w:eastAsia="仿宋"/>
                <w:bCs/>
                <w:sz w:val="21"/>
                <w:szCs w:val="21"/>
              </w:rPr>
            </w:pPr>
            <w:r>
              <w:rPr>
                <w:rFonts w:hint="eastAsia" w:ascii="仿宋" w:hAnsi="仿宋" w:eastAsia="仿宋"/>
                <w:bCs/>
                <w:sz w:val="21"/>
                <w:szCs w:val="21"/>
              </w:rPr>
              <w:t>标准稠度需水量（%）≤</w:t>
            </w:r>
          </w:p>
        </w:tc>
        <w:tc>
          <w:tcPr>
            <w:tcW w:w="2404" w:type="pct"/>
            <w:vAlign w:val="center"/>
          </w:tcPr>
          <w:p w14:paraId="3ACE4F49">
            <w:pPr>
              <w:spacing w:line="320" w:lineRule="exact"/>
              <w:jc w:val="center"/>
              <w:rPr>
                <w:rFonts w:hint="eastAsia" w:ascii="仿宋" w:hAnsi="仿宋" w:eastAsia="仿宋"/>
                <w:bCs/>
                <w:sz w:val="21"/>
                <w:szCs w:val="21"/>
              </w:rPr>
            </w:pPr>
            <w:r>
              <w:rPr>
                <w:rFonts w:hint="eastAsia" w:ascii="仿宋" w:hAnsi="仿宋" w:eastAsia="仿宋"/>
                <w:bCs/>
                <w:sz w:val="21"/>
                <w:szCs w:val="21"/>
              </w:rPr>
              <w:t>30</w:t>
            </w:r>
          </w:p>
        </w:tc>
      </w:tr>
      <w:tr w14:paraId="6F6C0CC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55" w:type="pct"/>
            <w:vAlign w:val="center"/>
          </w:tcPr>
          <w:p w14:paraId="694915BD">
            <w:pPr>
              <w:spacing w:line="320" w:lineRule="exact"/>
              <w:jc w:val="center"/>
              <w:rPr>
                <w:rFonts w:hint="eastAsia" w:ascii="仿宋" w:hAnsi="仿宋" w:eastAsia="仿宋"/>
                <w:bCs/>
                <w:sz w:val="21"/>
                <w:szCs w:val="21"/>
              </w:rPr>
            </w:pPr>
            <w:r>
              <w:rPr>
                <w:rFonts w:hint="eastAsia" w:ascii="仿宋" w:hAnsi="仿宋" w:eastAsia="仿宋"/>
                <w:bCs/>
                <w:sz w:val="21"/>
                <w:szCs w:val="21"/>
              </w:rPr>
              <w:t>4</w:t>
            </w:r>
          </w:p>
        </w:tc>
        <w:tc>
          <w:tcPr>
            <w:tcW w:w="1841" w:type="pct"/>
            <w:gridSpan w:val="2"/>
            <w:vAlign w:val="center"/>
          </w:tcPr>
          <w:p w14:paraId="33D3CFF9">
            <w:pPr>
              <w:spacing w:line="320" w:lineRule="exact"/>
              <w:jc w:val="center"/>
              <w:rPr>
                <w:rFonts w:hint="eastAsia" w:ascii="仿宋" w:hAnsi="仿宋" w:eastAsia="仿宋"/>
                <w:bCs/>
                <w:sz w:val="21"/>
                <w:szCs w:val="21"/>
              </w:rPr>
            </w:pPr>
            <w:r>
              <w:rPr>
                <w:rFonts w:hint="eastAsia" w:ascii="仿宋" w:hAnsi="仿宋" w:eastAsia="仿宋"/>
                <w:bCs/>
                <w:sz w:val="21"/>
                <w:szCs w:val="21"/>
              </w:rPr>
              <w:t>比表面积（</w:t>
            </w:r>
            <w:r>
              <w:rPr>
                <w:rFonts w:hint="eastAsia" w:ascii="仿宋" w:hAnsi="仿宋" w:eastAsia="仿宋" w:cs="Segoe UI Symbol"/>
                <w:bCs/>
                <w:sz w:val="21"/>
                <w:szCs w:val="21"/>
              </w:rPr>
              <w:t>㎡</w:t>
            </w:r>
            <w:r>
              <w:rPr>
                <w:rFonts w:hint="eastAsia" w:ascii="仿宋" w:hAnsi="仿宋" w:eastAsia="仿宋"/>
                <w:bCs/>
                <w:sz w:val="21"/>
                <w:szCs w:val="21"/>
              </w:rPr>
              <w:t>/kg）</w:t>
            </w:r>
          </w:p>
        </w:tc>
        <w:tc>
          <w:tcPr>
            <w:tcW w:w="2404" w:type="pct"/>
            <w:vAlign w:val="center"/>
          </w:tcPr>
          <w:p w14:paraId="5FDE54E7">
            <w:pPr>
              <w:spacing w:line="320" w:lineRule="exact"/>
              <w:jc w:val="center"/>
              <w:rPr>
                <w:rFonts w:hint="eastAsia" w:ascii="仿宋" w:hAnsi="仿宋" w:eastAsia="仿宋"/>
                <w:bCs/>
                <w:sz w:val="21"/>
                <w:szCs w:val="21"/>
              </w:rPr>
            </w:pPr>
            <w:r>
              <w:rPr>
                <w:rFonts w:hint="eastAsia" w:ascii="仿宋" w:hAnsi="仿宋" w:eastAsia="仿宋"/>
                <w:bCs/>
                <w:sz w:val="21"/>
                <w:szCs w:val="21"/>
              </w:rPr>
              <w:t>300-450</w:t>
            </w:r>
          </w:p>
        </w:tc>
      </w:tr>
      <w:tr w14:paraId="61ED48B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55" w:type="pct"/>
            <w:vAlign w:val="center"/>
          </w:tcPr>
          <w:p w14:paraId="1F3295CB">
            <w:pPr>
              <w:spacing w:line="320" w:lineRule="exact"/>
              <w:jc w:val="center"/>
              <w:rPr>
                <w:rFonts w:hint="eastAsia" w:ascii="仿宋" w:hAnsi="仿宋" w:eastAsia="仿宋"/>
                <w:bCs/>
                <w:sz w:val="21"/>
                <w:szCs w:val="21"/>
              </w:rPr>
            </w:pPr>
            <w:r>
              <w:rPr>
                <w:rFonts w:hint="eastAsia" w:ascii="仿宋" w:hAnsi="仿宋" w:eastAsia="仿宋"/>
                <w:bCs/>
                <w:sz w:val="21"/>
                <w:szCs w:val="21"/>
              </w:rPr>
              <w:t>5</w:t>
            </w:r>
          </w:p>
        </w:tc>
        <w:tc>
          <w:tcPr>
            <w:tcW w:w="1841" w:type="pct"/>
            <w:gridSpan w:val="2"/>
            <w:vAlign w:val="center"/>
          </w:tcPr>
          <w:p w14:paraId="72A95772">
            <w:pPr>
              <w:spacing w:line="320" w:lineRule="exact"/>
              <w:jc w:val="center"/>
              <w:rPr>
                <w:rFonts w:hint="eastAsia" w:ascii="仿宋" w:hAnsi="仿宋" w:eastAsia="仿宋"/>
                <w:bCs/>
                <w:sz w:val="21"/>
                <w:szCs w:val="21"/>
              </w:rPr>
            </w:pPr>
            <w:r>
              <w:rPr>
                <w:rFonts w:hint="eastAsia" w:ascii="仿宋" w:hAnsi="仿宋" w:eastAsia="仿宋"/>
                <w:bCs/>
                <w:sz w:val="21"/>
                <w:szCs w:val="21"/>
              </w:rPr>
              <w:t>细度（80μm筛余）（%）≤</w:t>
            </w:r>
          </w:p>
        </w:tc>
        <w:tc>
          <w:tcPr>
            <w:tcW w:w="2404" w:type="pct"/>
            <w:vAlign w:val="center"/>
          </w:tcPr>
          <w:p w14:paraId="658CB449">
            <w:pPr>
              <w:spacing w:line="320" w:lineRule="exact"/>
              <w:jc w:val="center"/>
              <w:rPr>
                <w:rFonts w:hint="eastAsia" w:ascii="仿宋" w:hAnsi="仿宋" w:eastAsia="仿宋"/>
                <w:bCs/>
                <w:sz w:val="21"/>
                <w:szCs w:val="21"/>
              </w:rPr>
            </w:pPr>
            <w:r>
              <w:rPr>
                <w:rFonts w:hint="eastAsia" w:ascii="仿宋" w:hAnsi="仿宋" w:eastAsia="仿宋"/>
                <w:bCs/>
                <w:sz w:val="21"/>
                <w:szCs w:val="21"/>
              </w:rPr>
              <w:t>10</w:t>
            </w:r>
          </w:p>
        </w:tc>
      </w:tr>
      <w:tr w14:paraId="37464DB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55" w:type="pct"/>
            <w:vAlign w:val="center"/>
          </w:tcPr>
          <w:p w14:paraId="670C2392">
            <w:pPr>
              <w:spacing w:line="320" w:lineRule="exact"/>
              <w:jc w:val="center"/>
              <w:rPr>
                <w:rFonts w:hint="eastAsia" w:ascii="仿宋" w:hAnsi="仿宋" w:eastAsia="仿宋"/>
                <w:bCs/>
                <w:sz w:val="21"/>
                <w:szCs w:val="21"/>
              </w:rPr>
            </w:pPr>
            <w:r>
              <w:rPr>
                <w:rFonts w:hint="eastAsia" w:ascii="仿宋" w:hAnsi="仿宋" w:eastAsia="仿宋"/>
                <w:bCs/>
                <w:sz w:val="21"/>
                <w:szCs w:val="21"/>
              </w:rPr>
              <w:t>6</w:t>
            </w:r>
          </w:p>
        </w:tc>
        <w:tc>
          <w:tcPr>
            <w:tcW w:w="1841" w:type="pct"/>
            <w:gridSpan w:val="2"/>
            <w:vAlign w:val="center"/>
          </w:tcPr>
          <w:p w14:paraId="57BD789F">
            <w:pPr>
              <w:spacing w:line="320" w:lineRule="exact"/>
              <w:jc w:val="center"/>
              <w:rPr>
                <w:rFonts w:hint="eastAsia" w:ascii="仿宋" w:hAnsi="仿宋" w:eastAsia="仿宋"/>
                <w:bCs/>
                <w:sz w:val="21"/>
                <w:szCs w:val="21"/>
              </w:rPr>
            </w:pPr>
            <w:r>
              <w:rPr>
                <w:rFonts w:hint="eastAsia" w:ascii="仿宋" w:hAnsi="仿宋" w:eastAsia="仿宋"/>
                <w:bCs/>
                <w:sz w:val="21"/>
                <w:szCs w:val="21"/>
              </w:rPr>
              <w:t>28d干缩率（%）≤</w:t>
            </w:r>
          </w:p>
        </w:tc>
        <w:tc>
          <w:tcPr>
            <w:tcW w:w="2404" w:type="pct"/>
            <w:vAlign w:val="center"/>
          </w:tcPr>
          <w:p w14:paraId="1AC94AC6">
            <w:pPr>
              <w:spacing w:line="320" w:lineRule="exact"/>
              <w:jc w:val="center"/>
              <w:rPr>
                <w:rFonts w:hint="eastAsia" w:ascii="仿宋" w:hAnsi="仿宋" w:eastAsia="仿宋"/>
                <w:bCs/>
                <w:sz w:val="21"/>
                <w:szCs w:val="21"/>
              </w:rPr>
            </w:pPr>
            <w:r>
              <w:rPr>
                <w:rFonts w:hint="eastAsia" w:ascii="仿宋" w:hAnsi="仿宋" w:eastAsia="仿宋"/>
                <w:bCs/>
                <w:sz w:val="21"/>
                <w:szCs w:val="21"/>
              </w:rPr>
              <w:t>0.1</w:t>
            </w:r>
          </w:p>
        </w:tc>
      </w:tr>
      <w:tr w14:paraId="650A851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55" w:type="pct"/>
            <w:vAlign w:val="center"/>
          </w:tcPr>
          <w:p w14:paraId="1F1F6F3F">
            <w:pPr>
              <w:spacing w:line="320" w:lineRule="exact"/>
              <w:jc w:val="center"/>
              <w:rPr>
                <w:rFonts w:hint="eastAsia" w:ascii="仿宋" w:hAnsi="仿宋" w:eastAsia="仿宋"/>
                <w:bCs/>
                <w:sz w:val="21"/>
                <w:szCs w:val="21"/>
              </w:rPr>
            </w:pPr>
            <w:r>
              <w:rPr>
                <w:rFonts w:hint="eastAsia" w:ascii="仿宋" w:hAnsi="仿宋" w:eastAsia="仿宋"/>
                <w:bCs/>
                <w:sz w:val="21"/>
                <w:szCs w:val="21"/>
              </w:rPr>
              <w:t>7</w:t>
            </w:r>
          </w:p>
        </w:tc>
        <w:tc>
          <w:tcPr>
            <w:tcW w:w="1841" w:type="pct"/>
            <w:gridSpan w:val="2"/>
            <w:vAlign w:val="center"/>
          </w:tcPr>
          <w:p w14:paraId="13FB859A">
            <w:pPr>
              <w:spacing w:line="320" w:lineRule="exact"/>
              <w:jc w:val="center"/>
              <w:rPr>
                <w:rFonts w:hint="eastAsia" w:ascii="仿宋" w:hAnsi="仿宋" w:eastAsia="仿宋"/>
                <w:bCs/>
                <w:sz w:val="21"/>
                <w:szCs w:val="21"/>
              </w:rPr>
            </w:pPr>
            <w:r>
              <w:rPr>
                <w:rFonts w:hint="eastAsia" w:ascii="仿宋" w:hAnsi="仿宋" w:eastAsia="仿宋"/>
                <w:bCs/>
                <w:sz w:val="21"/>
                <w:szCs w:val="21"/>
              </w:rPr>
              <w:t>耐磨性（kg/</w:t>
            </w:r>
            <w:r>
              <w:rPr>
                <w:rFonts w:hint="eastAsia" w:ascii="仿宋" w:hAnsi="仿宋" w:eastAsia="仿宋" w:cs="Segoe UI Symbol"/>
                <w:bCs/>
                <w:sz w:val="21"/>
                <w:szCs w:val="21"/>
              </w:rPr>
              <w:t>㎡</w:t>
            </w:r>
            <w:r>
              <w:rPr>
                <w:rFonts w:hint="eastAsia" w:ascii="仿宋" w:hAnsi="仿宋" w:eastAsia="仿宋" w:cs="仿宋_GB2312"/>
                <w:bCs/>
                <w:sz w:val="21"/>
                <w:szCs w:val="21"/>
              </w:rPr>
              <w:t>）</w:t>
            </w:r>
          </w:p>
        </w:tc>
        <w:tc>
          <w:tcPr>
            <w:tcW w:w="2404" w:type="pct"/>
            <w:vAlign w:val="center"/>
          </w:tcPr>
          <w:p w14:paraId="334123E3">
            <w:pPr>
              <w:spacing w:line="320" w:lineRule="exact"/>
              <w:jc w:val="center"/>
              <w:rPr>
                <w:rFonts w:hint="eastAsia" w:ascii="仿宋" w:hAnsi="仿宋" w:eastAsia="仿宋"/>
                <w:bCs/>
                <w:sz w:val="21"/>
                <w:szCs w:val="21"/>
              </w:rPr>
            </w:pPr>
            <w:r>
              <w:rPr>
                <w:rFonts w:hint="eastAsia" w:ascii="仿宋" w:hAnsi="仿宋" w:eastAsia="仿宋"/>
                <w:bCs/>
                <w:sz w:val="21"/>
                <w:szCs w:val="21"/>
              </w:rPr>
              <w:t>3.0</w:t>
            </w:r>
          </w:p>
        </w:tc>
      </w:tr>
    </w:tbl>
    <w:p w14:paraId="5FA1BEF1">
      <w:pPr>
        <w:pStyle w:val="208"/>
        <w:ind w:firstLine="482" w:firstLineChars="200"/>
        <w:rPr>
          <w:rFonts w:hint="eastAsia"/>
        </w:rPr>
      </w:pPr>
      <w:r>
        <w:rPr>
          <w:rFonts w:hint="eastAsia"/>
        </w:rPr>
        <w:t>粗集料：</w:t>
      </w:r>
    </w:p>
    <w:p w14:paraId="5B2704BB">
      <w:pPr>
        <w:pStyle w:val="77"/>
        <w:rPr>
          <w:rFonts w:hint="eastAsia" w:ascii="仿宋" w:hAnsi="仿宋" w:eastAsia="仿宋"/>
        </w:rPr>
      </w:pPr>
      <w:r>
        <w:rPr>
          <w:rFonts w:hint="eastAsia" w:ascii="仿宋" w:hAnsi="仿宋" w:eastAsia="仿宋"/>
        </w:rPr>
        <w:t>使用质地坚硬、耐久、干净的碎石、破碎卵石，满足《公路水泥混凝土路面施工技术细则》（JTG/T F30-2014）中表3.3.1 Ⅲ级要求。</w:t>
      </w:r>
    </w:p>
    <w:tbl>
      <w:tblPr>
        <w:tblStyle w:val="27"/>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36"/>
        <w:gridCol w:w="3974"/>
        <w:gridCol w:w="4316"/>
      </w:tblGrid>
      <w:tr w14:paraId="032EF28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tblHeader/>
          <w:jc w:val="center"/>
        </w:trPr>
        <w:tc>
          <w:tcPr>
            <w:tcW w:w="824" w:type="pct"/>
            <w:shd w:val="clear" w:color="auto" w:fill="D9E2F3" w:themeFill="accent1" w:themeFillTint="33"/>
            <w:vAlign w:val="center"/>
          </w:tcPr>
          <w:p w14:paraId="02ED6A55">
            <w:pPr>
              <w:pStyle w:val="134"/>
              <w:spacing w:line="320" w:lineRule="exact"/>
              <w:rPr>
                <w:rFonts w:hint="eastAsia" w:ascii="仿宋" w:hAnsi="仿宋" w:eastAsia="仿宋"/>
                <w:b w:val="0"/>
                <w:bCs/>
                <w:sz w:val="21"/>
                <w:szCs w:val="21"/>
              </w:rPr>
            </w:pPr>
            <w:r>
              <w:rPr>
                <w:rFonts w:hint="eastAsia" w:ascii="仿宋" w:hAnsi="仿宋" w:eastAsia="仿宋"/>
                <w:b w:val="0"/>
                <w:bCs/>
                <w:sz w:val="21"/>
                <w:szCs w:val="21"/>
              </w:rPr>
              <w:t>序号</w:t>
            </w:r>
          </w:p>
        </w:tc>
        <w:tc>
          <w:tcPr>
            <w:tcW w:w="2002" w:type="pct"/>
            <w:shd w:val="clear" w:color="auto" w:fill="D9E2F3" w:themeFill="accent1" w:themeFillTint="33"/>
            <w:vAlign w:val="center"/>
          </w:tcPr>
          <w:p w14:paraId="6914DDAC">
            <w:pPr>
              <w:pStyle w:val="134"/>
              <w:spacing w:line="320" w:lineRule="exact"/>
              <w:rPr>
                <w:rFonts w:hint="eastAsia" w:ascii="仿宋" w:hAnsi="仿宋" w:eastAsia="仿宋"/>
                <w:b w:val="0"/>
                <w:bCs/>
                <w:sz w:val="21"/>
                <w:szCs w:val="21"/>
              </w:rPr>
            </w:pPr>
            <w:r>
              <w:rPr>
                <w:rFonts w:hint="eastAsia" w:ascii="仿宋" w:hAnsi="仿宋" w:eastAsia="仿宋"/>
                <w:b w:val="0"/>
                <w:bCs/>
                <w:sz w:val="21"/>
                <w:szCs w:val="21"/>
              </w:rPr>
              <w:t>项目</w:t>
            </w:r>
          </w:p>
        </w:tc>
        <w:tc>
          <w:tcPr>
            <w:tcW w:w="2174" w:type="pct"/>
            <w:shd w:val="clear" w:color="auto" w:fill="D9E2F3" w:themeFill="accent1" w:themeFillTint="33"/>
            <w:vAlign w:val="center"/>
          </w:tcPr>
          <w:p w14:paraId="6089026D">
            <w:pPr>
              <w:pStyle w:val="134"/>
              <w:spacing w:line="320" w:lineRule="exact"/>
              <w:rPr>
                <w:rFonts w:hint="eastAsia" w:ascii="仿宋" w:hAnsi="仿宋" w:eastAsia="仿宋"/>
                <w:b w:val="0"/>
                <w:bCs/>
                <w:sz w:val="21"/>
                <w:szCs w:val="21"/>
              </w:rPr>
            </w:pPr>
            <w:r>
              <w:rPr>
                <w:rFonts w:hint="eastAsia" w:ascii="仿宋" w:hAnsi="仿宋" w:eastAsia="仿宋"/>
                <w:b w:val="0"/>
                <w:bCs/>
                <w:sz w:val="21"/>
                <w:szCs w:val="21"/>
              </w:rPr>
              <w:t>技术要求</w:t>
            </w:r>
          </w:p>
        </w:tc>
      </w:tr>
      <w:tr w14:paraId="2505371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24" w:type="pct"/>
            <w:vAlign w:val="center"/>
          </w:tcPr>
          <w:p w14:paraId="3B1A0FB6">
            <w:pPr>
              <w:spacing w:line="320" w:lineRule="exact"/>
              <w:jc w:val="center"/>
              <w:rPr>
                <w:rFonts w:hint="eastAsia" w:ascii="仿宋" w:hAnsi="仿宋" w:eastAsia="仿宋"/>
                <w:bCs/>
                <w:sz w:val="21"/>
                <w:szCs w:val="21"/>
              </w:rPr>
            </w:pPr>
            <w:r>
              <w:rPr>
                <w:rFonts w:hint="eastAsia" w:ascii="仿宋" w:hAnsi="仿宋" w:eastAsia="仿宋"/>
                <w:bCs/>
                <w:sz w:val="21"/>
                <w:szCs w:val="21"/>
              </w:rPr>
              <w:t>1</w:t>
            </w:r>
          </w:p>
        </w:tc>
        <w:tc>
          <w:tcPr>
            <w:tcW w:w="2002" w:type="pct"/>
            <w:vAlign w:val="center"/>
          </w:tcPr>
          <w:p w14:paraId="71D99295">
            <w:pPr>
              <w:spacing w:line="320" w:lineRule="exact"/>
              <w:jc w:val="center"/>
              <w:rPr>
                <w:rFonts w:hint="eastAsia" w:ascii="仿宋" w:hAnsi="仿宋" w:eastAsia="仿宋"/>
                <w:bCs/>
                <w:sz w:val="21"/>
                <w:szCs w:val="21"/>
              </w:rPr>
            </w:pPr>
            <w:r>
              <w:rPr>
                <w:rFonts w:hint="eastAsia" w:ascii="仿宋" w:hAnsi="仿宋" w:eastAsia="仿宋"/>
                <w:bCs/>
                <w:sz w:val="21"/>
                <w:szCs w:val="21"/>
              </w:rPr>
              <w:t>碎石压碎值（%）≤</w:t>
            </w:r>
          </w:p>
        </w:tc>
        <w:tc>
          <w:tcPr>
            <w:tcW w:w="2174" w:type="pct"/>
            <w:vAlign w:val="center"/>
          </w:tcPr>
          <w:p w14:paraId="42D94A53">
            <w:pPr>
              <w:spacing w:line="320" w:lineRule="exact"/>
              <w:jc w:val="center"/>
              <w:rPr>
                <w:rFonts w:hint="eastAsia" w:ascii="仿宋" w:hAnsi="仿宋" w:eastAsia="仿宋"/>
                <w:bCs/>
                <w:sz w:val="21"/>
                <w:szCs w:val="21"/>
              </w:rPr>
            </w:pPr>
            <w:r>
              <w:rPr>
                <w:rFonts w:hint="eastAsia" w:ascii="仿宋" w:hAnsi="仿宋" w:eastAsia="仿宋"/>
                <w:bCs/>
                <w:sz w:val="21"/>
                <w:szCs w:val="21"/>
              </w:rPr>
              <w:t>30</w:t>
            </w:r>
          </w:p>
        </w:tc>
      </w:tr>
      <w:tr w14:paraId="11FCEDA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24" w:type="pct"/>
            <w:vAlign w:val="center"/>
          </w:tcPr>
          <w:p w14:paraId="541EEDCE">
            <w:pPr>
              <w:spacing w:line="320" w:lineRule="exact"/>
              <w:jc w:val="center"/>
              <w:rPr>
                <w:rFonts w:hint="eastAsia" w:ascii="仿宋" w:hAnsi="仿宋" w:eastAsia="仿宋"/>
                <w:bCs/>
                <w:sz w:val="21"/>
                <w:szCs w:val="21"/>
              </w:rPr>
            </w:pPr>
            <w:r>
              <w:rPr>
                <w:rFonts w:hint="eastAsia" w:ascii="仿宋" w:hAnsi="仿宋" w:eastAsia="仿宋"/>
                <w:bCs/>
                <w:sz w:val="21"/>
                <w:szCs w:val="21"/>
              </w:rPr>
              <w:t>2</w:t>
            </w:r>
          </w:p>
        </w:tc>
        <w:tc>
          <w:tcPr>
            <w:tcW w:w="2002" w:type="pct"/>
            <w:vAlign w:val="center"/>
          </w:tcPr>
          <w:p w14:paraId="4195D51F">
            <w:pPr>
              <w:spacing w:line="320" w:lineRule="exact"/>
              <w:jc w:val="center"/>
              <w:rPr>
                <w:rFonts w:hint="eastAsia" w:ascii="仿宋" w:hAnsi="仿宋" w:eastAsia="仿宋"/>
                <w:bCs/>
                <w:sz w:val="21"/>
                <w:szCs w:val="21"/>
              </w:rPr>
            </w:pPr>
            <w:r>
              <w:rPr>
                <w:rFonts w:hint="eastAsia" w:ascii="仿宋" w:hAnsi="仿宋" w:eastAsia="仿宋"/>
                <w:bCs/>
                <w:sz w:val="21"/>
                <w:szCs w:val="21"/>
              </w:rPr>
              <w:t>卵石压碎值（%）≤</w:t>
            </w:r>
          </w:p>
        </w:tc>
        <w:tc>
          <w:tcPr>
            <w:tcW w:w="2174" w:type="pct"/>
            <w:vAlign w:val="center"/>
          </w:tcPr>
          <w:p w14:paraId="2C1DE592">
            <w:pPr>
              <w:spacing w:line="320" w:lineRule="exact"/>
              <w:jc w:val="center"/>
              <w:rPr>
                <w:rFonts w:hint="eastAsia" w:ascii="仿宋" w:hAnsi="仿宋" w:eastAsia="仿宋"/>
                <w:bCs/>
                <w:sz w:val="21"/>
                <w:szCs w:val="21"/>
              </w:rPr>
            </w:pPr>
            <w:r>
              <w:rPr>
                <w:rFonts w:hint="eastAsia" w:ascii="仿宋" w:hAnsi="仿宋" w:eastAsia="仿宋"/>
                <w:bCs/>
                <w:sz w:val="21"/>
                <w:szCs w:val="21"/>
              </w:rPr>
              <w:t>26</w:t>
            </w:r>
          </w:p>
        </w:tc>
      </w:tr>
      <w:tr w14:paraId="366C993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24" w:type="pct"/>
            <w:vAlign w:val="center"/>
          </w:tcPr>
          <w:p w14:paraId="2F36E54F">
            <w:pPr>
              <w:spacing w:line="320" w:lineRule="exact"/>
              <w:jc w:val="center"/>
              <w:rPr>
                <w:rFonts w:hint="eastAsia" w:ascii="仿宋" w:hAnsi="仿宋" w:eastAsia="仿宋"/>
                <w:bCs/>
                <w:sz w:val="21"/>
                <w:szCs w:val="21"/>
              </w:rPr>
            </w:pPr>
            <w:r>
              <w:rPr>
                <w:rFonts w:hint="eastAsia" w:ascii="仿宋" w:hAnsi="仿宋" w:eastAsia="仿宋"/>
                <w:bCs/>
                <w:sz w:val="21"/>
                <w:szCs w:val="21"/>
              </w:rPr>
              <w:t>3</w:t>
            </w:r>
          </w:p>
        </w:tc>
        <w:tc>
          <w:tcPr>
            <w:tcW w:w="2002" w:type="pct"/>
            <w:vAlign w:val="center"/>
          </w:tcPr>
          <w:p w14:paraId="6807CAE8">
            <w:pPr>
              <w:spacing w:line="320" w:lineRule="exact"/>
              <w:jc w:val="center"/>
              <w:rPr>
                <w:rFonts w:hint="eastAsia" w:ascii="仿宋" w:hAnsi="仿宋" w:eastAsia="仿宋"/>
                <w:bCs/>
                <w:sz w:val="21"/>
                <w:szCs w:val="21"/>
              </w:rPr>
            </w:pPr>
            <w:r>
              <w:rPr>
                <w:rFonts w:hint="eastAsia" w:ascii="仿宋" w:hAnsi="仿宋" w:eastAsia="仿宋"/>
                <w:bCs/>
                <w:sz w:val="21"/>
                <w:szCs w:val="21"/>
              </w:rPr>
              <w:t>坚固性（%）≤</w:t>
            </w:r>
          </w:p>
        </w:tc>
        <w:tc>
          <w:tcPr>
            <w:tcW w:w="2174" w:type="pct"/>
            <w:vAlign w:val="center"/>
          </w:tcPr>
          <w:p w14:paraId="0E0023DD">
            <w:pPr>
              <w:spacing w:line="320" w:lineRule="exact"/>
              <w:jc w:val="center"/>
              <w:rPr>
                <w:rFonts w:hint="eastAsia" w:ascii="仿宋" w:hAnsi="仿宋" w:eastAsia="仿宋"/>
                <w:bCs/>
                <w:sz w:val="21"/>
                <w:szCs w:val="21"/>
              </w:rPr>
            </w:pPr>
            <w:r>
              <w:rPr>
                <w:rFonts w:hint="eastAsia" w:ascii="仿宋" w:hAnsi="仿宋" w:eastAsia="仿宋"/>
                <w:bCs/>
                <w:sz w:val="21"/>
                <w:szCs w:val="21"/>
              </w:rPr>
              <w:t>12</w:t>
            </w:r>
          </w:p>
        </w:tc>
      </w:tr>
      <w:tr w14:paraId="2E125FF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24" w:type="pct"/>
            <w:vAlign w:val="center"/>
          </w:tcPr>
          <w:p w14:paraId="7F3FD60E">
            <w:pPr>
              <w:spacing w:line="320" w:lineRule="exact"/>
              <w:jc w:val="center"/>
              <w:rPr>
                <w:rFonts w:hint="eastAsia" w:ascii="仿宋" w:hAnsi="仿宋" w:eastAsia="仿宋"/>
                <w:bCs/>
                <w:sz w:val="21"/>
                <w:szCs w:val="21"/>
              </w:rPr>
            </w:pPr>
            <w:r>
              <w:rPr>
                <w:rFonts w:hint="eastAsia" w:ascii="仿宋" w:hAnsi="仿宋" w:eastAsia="仿宋"/>
                <w:bCs/>
                <w:sz w:val="21"/>
                <w:szCs w:val="21"/>
              </w:rPr>
              <w:t>4</w:t>
            </w:r>
          </w:p>
        </w:tc>
        <w:tc>
          <w:tcPr>
            <w:tcW w:w="2002" w:type="pct"/>
            <w:vAlign w:val="center"/>
          </w:tcPr>
          <w:p w14:paraId="4F03E4ED">
            <w:pPr>
              <w:spacing w:line="320" w:lineRule="exact"/>
              <w:jc w:val="center"/>
              <w:rPr>
                <w:rFonts w:hint="eastAsia" w:ascii="仿宋" w:hAnsi="仿宋" w:eastAsia="仿宋"/>
                <w:bCs/>
                <w:sz w:val="21"/>
                <w:szCs w:val="21"/>
              </w:rPr>
            </w:pPr>
            <w:r>
              <w:rPr>
                <w:rFonts w:hint="eastAsia" w:ascii="仿宋" w:hAnsi="仿宋" w:eastAsia="仿宋"/>
                <w:bCs/>
                <w:sz w:val="21"/>
                <w:szCs w:val="21"/>
              </w:rPr>
              <w:t>含泥量（%）≤</w:t>
            </w:r>
          </w:p>
        </w:tc>
        <w:tc>
          <w:tcPr>
            <w:tcW w:w="2174" w:type="pct"/>
            <w:vAlign w:val="center"/>
          </w:tcPr>
          <w:p w14:paraId="63722C17">
            <w:pPr>
              <w:spacing w:line="320" w:lineRule="exact"/>
              <w:jc w:val="center"/>
              <w:rPr>
                <w:rFonts w:hint="eastAsia" w:ascii="仿宋" w:hAnsi="仿宋" w:eastAsia="仿宋"/>
                <w:bCs/>
                <w:sz w:val="21"/>
                <w:szCs w:val="21"/>
              </w:rPr>
            </w:pPr>
            <w:r>
              <w:rPr>
                <w:rFonts w:hint="eastAsia" w:ascii="仿宋" w:hAnsi="仿宋" w:eastAsia="仿宋"/>
                <w:bCs/>
                <w:sz w:val="21"/>
                <w:szCs w:val="21"/>
              </w:rPr>
              <w:t>2</w:t>
            </w:r>
          </w:p>
        </w:tc>
      </w:tr>
      <w:tr w14:paraId="1CB80D7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24" w:type="pct"/>
            <w:vAlign w:val="center"/>
          </w:tcPr>
          <w:p w14:paraId="11F7AED8">
            <w:pPr>
              <w:spacing w:line="320" w:lineRule="exact"/>
              <w:jc w:val="center"/>
              <w:rPr>
                <w:rFonts w:hint="eastAsia" w:ascii="仿宋" w:hAnsi="仿宋" w:eastAsia="仿宋"/>
                <w:bCs/>
                <w:sz w:val="21"/>
                <w:szCs w:val="21"/>
              </w:rPr>
            </w:pPr>
            <w:r>
              <w:rPr>
                <w:rFonts w:hint="eastAsia" w:ascii="仿宋" w:hAnsi="仿宋" w:eastAsia="仿宋"/>
                <w:bCs/>
                <w:sz w:val="21"/>
                <w:szCs w:val="21"/>
              </w:rPr>
              <w:t>5</w:t>
            </w:r>
          </w:p>
        </w:tc>
        <w:tc>
          <w:tcPr>
            <w:tcW w:w="2002" w:type="pct"/>
            <w:vAlign w:val="center"/>
          </w:tcPr>
          <w:p w14:paraId="65FB4578">
            <w:pPr>
              <w:spacing w:line="320" w:lineRule="exact"/>
              <w:jc w:val="center"/>
              <w:rPr>
                <w:rFonts w:hint="eastAsia" w:ascii="仿宋" w:hAnsi="仿宋" w:eastAsia="仿宋"/>
                <w:bCs/>
                <w:sz w:val="21"/>
                <w:szCs w:val="21"/>
              </w:rPr>
            </w:pPr>
            <w:r>
              <w:rPr>
                <w:rFonts w:hint="eastAsia" w:ascii="仿宋" w:hAnsi="仿宋" w:eastAsia="仿宋"/>
                <w:bCs/>
                <w:sz w:val="21"/>
                <w:szCs w:val="21"/>
              </w:rPr>
              <w:t>吸水率（%）≤</w:t>
            </w:r>
          </w:p>
        </w:tc>
        <w:tc>
          <w:tcPr>
            <w:tcW w:w="2174" w:type="pct"/>
            <w:vAlign w:val="center"/>
          </w:tcPr>
          <w:p w14:paraId="73A504DA">
            <w:pPr>
              <w:spacing w:line="320" w:lineRule="exact"/>
              <w:jc w:val="center"/>
              <w:rPr>
                <w:rFonts w:hint="eastAsia" w:ascii="仿宋" w:hAnsi="仿宋" w:eastAsia="仿宋"/>
                <w:bCs/>
                <w:sz w:val="21"/>
                <w:szCs w:val="21"/>
              </w:rPr>
            </w:pPr>
            <w:r>
              <w:rPr>
                <w:rFonts w:hint="eastAsia" w:ascii="仿宋" w:hAnsi="仿宋" w:eastAsia="仿宋"/>
                <w:bCs/>
                <w:sz w:val="21"/>
                <w:szCs w:val="21"/>
              </w:rPr>
              <w:t>3</w:t>
            </w:r>
          </w:p>
        </w:tc>
      </w:tr>
      <w:tr w14:paraId="26DEE9C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24" w:type="pct"/>
            <w:vAlign w:val="center"/>
          </w:tcPr>
          <w:p w14:paraId="5BEA5CA2">
            <w:pPr>
              <w:spacing w:line="320" w:lineRule="exact"/>
              <w:jc w:val="center"/>
              <w:rPr>
                <w:rFonts w:hint="eastAsia" w:ascii="仿宋" w:hAnsi="仿宋" w:eastAsia="仿宋"/>
                <w:bCs/>
                <w:sz w:val="21"/>
                <w:szCs w:val="21"/>
              </w:rPr>
            </w:pPr>
            <w:r>
              <w:rPr>
                <w:rFonts w:hint="eastAsia" w:ascii="仿宋" w:hAnsi="仿宋" w:eastAsia="仿宋"/>
                <w:bCs/>
                <w:sz w:val="21"/>
                <w:szCs w:val="21"/>
              </w:rPr>
              <w:t>6</w:t>
            </w:r>
          </w:p>
        </w:tc>
        <w:tc>
          <w:tcPr>
            <w:tcW w:w="2002" w:type="pct"/>
            <w:vAlign w:val="center"/>
          </w:tcPr>
          <w:p w14:paraId="48F0A617">
            <w:pPr>
              <w:spacing w:line="320" w:lineRule="exact"/>
              <w:jc w:val="center"/>
              <w:rPr>
                <w:rFonts w:hint="eastAsia" w:ascii="仿宋" w:hAnsi="仿宋" w:eastAsia="仿宋"/>
                <w:bCs/>
                <w:sz w:val="21"/>
                <w:szCs w:val="21"/>
              </w:rPr>
            </w:pPr>
            <w:r>
              <w:rPr>
                <w:rFonts w:hint="eastAsia" w:ascii="仿宋" w:hAnsi="仿宋" w:eastAsia="仿宋"/>
                <w:bCs/>
                <w:sz w:val="21"/>
                <w:szCs w:val="21"/>
              </w:rPr>
              <w:t>洛杉矶磨耗损失（%）≤</w:t>
            </w:r>
          </w:p>
        </w:tc>
        <w:tc>
          <w:tcPr>
            <w:tcW w:w="2174" w:type="pct"/>
            <w:vAlign w:val="center"/>
          </w:tcPr>
          <w:p w14:paraId="5320A821">
            <w:pPr>
              <w:spacing w:line="320" w:lineRule="exact"/>
              <w:jc w:val="center"/>
              <w:rPr>
                <w:rFonts w:hint="eastAsia" w:ascii="仿宋" w:hAnsi="仿宋" w:eastAsia="仿宋"/>
                <w:bCs/>
                <w:sz w:val="21"/>
                <w:szCs w:val="21"/>
              </w:rPr>
            </w:pPr>
            <w:r>
              <w:rPr>
                <w:rFonts w:hint="eastAsia" w:ascii="仿宋" w:hAnsi="仿宋" w:eastAsia="仿宋"/>
                <w:bCs/>
                <w:sz w:val="21"/>
                <w:szCs w:val="21"/>
              </w:rPr>
              <w:t>35</w:t>
            </w:r>
          </w:p>
        </w:tc>
      </w:tr>
      <w:tr w14:paraId="5E1009E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24" w:type="pct"/>
            <w:vAlign w:val="center"/>
          </w:tcPr>
          <w:p w14:paraId="50BB77CB">
            <w:pPr>
              <w:spacing w:line="320" w:lineRule="exact"/>
              <w:jc w:val="center"/>
              <w:rPr>
                <w:rFonts w:hint="eastAsia" w:ascii="仿宋" w:hAnsi="仿宋" w:eastAsia="仿宋"/>
                <w:bCs/>
                <w:sz w:val="21"/>
                <w:szCs w:val="21"/>
              </w:rPr>
            </w:pPr>
            <w:r>
              <w:rPr>
                <w:rFonts w:hint="eastAsia" w:ascii="仿宋" w:hAnsi="仿宋" w:eastAsia="仿宋"/>
                <w:bCs/>
                <w:sz w:val="21"/>
                <w:szCs w:val="21"/>
              </w:rPr>
              <w:t>7</w:t>
            </w:r>
          </w:p>
        </w:tc>
        <w:tc>
          <w:tcPr>
            <w:tcW w:w="2002" w:type="pct"/>
            <w:vAlign w:val="center"/>
          </w:tcPr>
          <w:p w14:paraId="42EF944B">
            <w:pPr>
              <w:spacing w:line="320" w:lineRule="exact"/>
              <w:jc w:val="center"/>
              <w:rPr>
                <w:rFonts w:hint="eastAsia" w:ascii="仿宋" w:hAnsi="仿宋" w:eastAsia="仿宋"/>
                <w:bCs/>
                <w:sz w:val="21"/>
                <w:szCs w:val="21"/>
              </w:rPr>
            </w:pPr>
            <w:r>
              <w:rPr>
                <w:rFonts w:hint="eastAsia" w:ascii="仿宋" w:hAnsi="仿宋" w:eastAsia="仿宋"/>
                <w:bCs/>
                <w:sz w:val="21"/>
                <w:szCs w:val="21"/>
              </w:rPr>
              <w:t>表观密度（kg/m</w:t>
            </w:r>
            <w:r>
              <w:rPr>
                <w:rFonts w:ascii="Calibri" w:hAnsi="Calibri" w:eastAsia="仿宋" w:cs="Calibri"/>
                <w:bCs/>
                <w:sz w:val="21"/>
                <w:szCs w:val="21"/>
              </w:rPr>
              <w:t>³</w:t>
            </w:r>
            <w:r>
              <w:rPr>
                <w:rFonts w:hint="eastAsia" w:ascii="仿宋" w:hAnsi="仿宋" w:eastAsia="仿宋" w:cs="仿宋_GB2312"/>
                <w:bCs/>
                <w:sz w:val="21"/>
                <w:szCs w:val="21"/>
              </w:rPr>
              <w:t>）≥</w:t>
            </w:r>
          </w:p>
        </w:tc>
        <w:tc>
          <w:tcPr>
            <w:tcW w:w="2174" w:type="pct"/>
            <w:vAlign w:val="center"/>
          </w:tcPr>
          <w:p w14:paraId="7C18CA26">
            <w:pPr>
              <w:spacing w:line="320" w:lineRule="exact"/>
              <w:jc w:val="center"/>
              <w:rPr>
                <w:rFonts w:hint="eastAsia" w:ascii="仿宋" w:hAnsi="仿宋" w:eastAsia="仿宋"/>
                <w:bCs/>
                <w:sz w:val="21"/>
                <w:szCs w:val="21"/>
              </w:rPr>
            </w:pPr>
            <w:r>
              <w:rPr>
                <w:rFonts w:hint="eastAsia" w:ascii="仿宋" w:hAnsi="仿宋" w:eastAsia="仿宋"/>
                <w:bCs/>
                <w:sz w:val="21"/>
                <w:szCs w:val="21"/>
              </w:rPr>
              <w:t>2500</w:t>
            </w:r>
          </w:p>
        </w:tc>
      </w:tr>
      <w:tr w14:paraId="15EFDF8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24" w:type="pct"/>
            <w:vAlign w:val="center"/>
          </w:tcPr>
          <w:p w14:paraId="285853DC">
            <w:pPr>
              <w:spacing w:line="320" w:lineRule="exact"/>
              <w:jc w:val="center"/>
              <w:rPr>
                <w:rFonts w:hint="eastAsia" w:ascii="仿宋" w:hAnsi="仿宋" w:eastAsia="仿宋"/>
                <w:bCs/>
                <w:sz w:val="21"/>
                <w:szCs w:val="21"/>
              </w:rPr>
            </w:pPr>
            <w:r>
              <w:rPr>
                <w:rFonts w:hint="eastAsia" w:ascii="仿宋" w:hAnsi="仿宋" w:eastAsia="仿宋"/>
                <w:bCs/>
                <w:sz w:val="21"/>
                <w:szCs w:val="21"/>
              </w:rPr>
              <w:t>8</w:t>
            </w:r>
          </w:p>
        </w:tc>
        <w:tc>
          <w:tcPr>
            <w:tcW w:w="2002" w:type="pct"/>
            <w:vAlign w:val="center"/>
          </w:tcPr>
          <w:p w14:paraId="5F95E534">
            <w:pPr>
              <w:spacing w:line="320" w:lineRule="exact"/>
              <w:jc w:val="center"/>
              <w:rPr>
                <w:rFonts w:hint="eastAsia" w:ascii="仿宋" w:hAnsi="仿宋" w:eastAsia="仿宋"/>
                <w:bCs/>
                <w:sz w:val="21"/>
                <w:szCs w:val="21"/>
              </w:rPr>
            </w:pPr>
            <w:r>
              <w:rPr>
                <w:rFonts w:hint="eastAsia" w:ascii="仿宋" w:hAnsi="仿宋" w:eastAsia="仿宋"/>
                <w:bCs/>
                <w:sz w:val="21"/>
                <w:szCs w:val="21"/>
              </w:rPr>
              <w:t>空隙率（%）≤</w:t>
            </w:r>
          </w:p>
        </w:tc>
        <w:tc>
          <w:tcPr>
            <w:tcW w:w="2174" w:type="pct"/>
            <w:vAlign w:val="center"/>
          </w:tcPr>
          <w:p w14:paraId="1486E445">
            <w:pPr>
              <w:spacing w:line="320" w:lineRule="exact"/>
              <w:jc w:val="center"/>
              <w:rPr>
                <w:rFonts w:hint="eastAsia" w:ascii="仿宋" w:hAnsi="仿宋" w:eastAsia="仿宋"/>
                <w:bCs/>
                <w:sz w:val="21"/>
                <w:szCs w:val="21"/>
              </w:rPr>
            </w:pPr>
            <w:r>
              <w:rPr>
                <w:rFonts w:hint="eastAsia" w:ascii="仿宋" w:hAnsi="仿宋" w:eastAsia="仿宋"/>
                <w:bCs/>
                <w:sz w:val="21"/>
                <w:szCs w:val="21"/>
              </w:rPr>
              <w:t>47</w:t>
            </w:r>
          </w:p>
        </w:tc>
      </w:tr>
      <w:tr w14:paraId="00BDDAF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24" w:type="pct"/>
            <w:vAlign w:val="center"/>
          </w:tcPr>
          <w:p w14:paraId="2E5EAA7D">
            <w:pPr>
              <w:spacing w:line="320" w:lineRule="exact"/>
              <w:jc w:val="center"/>
              <w:rPr>
                <w:rFonts w:hint="eastAsia" w:ascii="仿宋" w:hAnsi="仿宋" w:eastAsia="仿宋"/>
                <w:bCs/>
                <w:sz w:val="21"/>
                <w:szCs w:val="21"/>
              </w:rPr>
            </w:pPr>
            <w:r>
              <w:rPr>
                <w:rFonts w:hint="eastAsia" w:ascii="仿宋" w:hAnsi="仿宋" w:eastAsia="仿宋"/>
                <w:bCs/>
                <w:sz w:val="21"/>
                <w:szCs w:val="21"/>
              </w:rPr>
              <w:t>9</w:t>
            </w:r>
          </w:p>
        </w:tc>
        <w:tc>
          <w:tcPr>
            <w:tcW w:w="2002" w:type="pct"/>
            <w:vAlign w:val="center"/>
          </w:tcPr>
          <w:p w14:paraId="00BF4798">
            <w:pPr>
              <w:spacing w:line="320" w:lineRule="exact"/>
              <w:jc w:val="center"/>
              <w:rPr>
                <w:rFonts w:hint="eastAsia" w:ascii="仿宋" w:hAnsi="仿宋" w:eastAsia="仿宋"/>
                <w:bCs/>
                <w:sz w:val="21"/>
                <w:szCs w:val="21"/>
              </w:rPr>
            </w:pPr>
            <w:r>
              <w:rPr>
                <w:rFonts w:hint="eastAsia" w:ascii="仿宋" w:hAnsi="仿宋" w:eastAsia="仿宋"/>
                <w:bCs/>
                <w:sz w:val="21"/>
                <w:szCs w:val="21"/>
              </w:rPr>
              <w:t>磨光值（%）≥</w:t>
            </w:r>
          </w:p>
        </w:tc>
        <w:tc>
          <w:tcPr>
            <w:tcW w:w="2174" w:type="pct"/>
            <w:vAlign w:val="center"/>
          </w:tcPr>
          <w:p w14:paraId="452A3EF3">
            <w:pPr>
              <w:spacing w:line="320" w:lineRule="exact"/>
              <w:jc w:val="center"/>
              <w:rPr>
                <w:rFonts w:hint="eastAsia" w:ascii="仿宋" w:hAnsi="仿宋" w:eastAsia="仿宋"/>
                <w:bCs/>
                <w:sz w:val="21"/>
                <w:szCs w:val="21"/>
              </w:rPr>
            </w:pPr>
            <w:r>
              <w:rPr>
                <w:rFonts w:ascii="仿宋" w:hAnsi="仿宋" w:eastAsia="仿宋"/>
                <w:bCs/>
                <w:sz w:val="21"/>
                <w:szCs w:val="21"/>
              </w:rPr>
              <w:t>35</w:t>
            </w:r>
          </w:p>
        </w:tc>
      </w:tr>
    </w:tbl>
    <w:p w14:paraId="0E8680F0">
      <w:pPr>
        <w:pStyle w:val="208"/>
        <w:ind w:firstLine="482" w:firstLineChars="200"/>
        <w:rPr>
          <w:rFonts w:hint="eastAsia"/>
        </w:rPr>
      </w:pPr>
      <w:r>
        <w:rPr>
          <w:rFonts w:hint="eastAsia"/>
        </w:rPr>
        <w:t>细集料：</w:t>
      </w:r>
    </w:p>
    <w:p w14:paraId="590D420A">
      <w:pPr>
        <w:pStyle w:val="77"/>
        <w:rPr>
          <w:rFonts w:hint="eastAsia" w:ascii="仿宋" w:hAnsi="仿宋" w:eastAsia="仿宋"/>
        </w:rPr>
      </w:pPr>
      <w:r>
        <w:rPr>
          <w:rFonts w:hint="eastAsia" w:ascii="仿宋" w:hAnsi="仿宋" w:eastAsia="仿宋"/>
        </w:rPr>
        <w:t>使用质地坚硬、耐久、洁净的天然砂，细度模数在2.0-3.7之间，其质量标准满足《公路水泥混凝土路面施工技术细则》（JTG/T F30-2014）表3.4.2 Ⅲ级要求。</w:t>
      </w:r>
    </w:p>
    <w:tbl>
      <w:tblPr>
        <w:tblStyle w:val="27"/>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32"/>
        <w:gridCol w:w="3974"/>
        <w:gridCol w:w="4320"/>
      </w:tblGrid>
      <w:tr w14:paraId="51A3E6C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tblHeader/>
          <w:jc w:val="center"/>
        </w:trPr>
        <w:tc>
          <w:tcPr>
            <w:tcW w:w="822" w:type="pct"/>
            <w:shd w:val="clear" w:color="auto" w:fill="D9E2F3" w:themeFill="accent1" w:themeFillTint="33"/>
            <w:vAlign w:val="center"/>
          </w:tcPr>
          <w:p w14:paraId="6CAB7094">
            <w:pPr>
              <w:pStyle w:val="134"/>
              <w:spacing w:line="320" w:lineRule="exact"/>
              <w:rPr>
                <w:rFonts w:hint="eastAsia" w:ascii="仿宋" w:hAnsi="仿宋" w:eastAsia="仿宋"/>
                <w:b w:val="0"/>
                <w:bCs/>
                <w:sz w:val="21"/>
                <w:szCs w:val="21"/>
              </w:rPr>
            </w:pPr>
            <w:r>
              <w:rPr>
                <w:rFonts w:hint="eastAsia" w:ascii="仿宋" w:hAnsi="仿宋" w:eastAsia="仿宋"/>
                <w:b w:val="0"/>
                <w:bCs/>
                <w:sz w:val="21"/>
                <w:szCs w:val="21"/>
              </w:rPr>
              <w:t>项次</w:t>
            </w:r>
          </w:p>
        </w:tc>
        <w:tc>
          <w:tcPr>
            <w:tcW w:w="2002" w:type="pct"/>
            <w:shd w:val="clear" w:color="auto" w:fill="D9E2F3" w:themeFill="accent1" w:themeFillTint="33"/>
            <w:vAlign w:val="center"/>
          </w:tcPr>
          <w:p w14:paraId="080AD85A">
            <w:pPr>
              <w:pStyle w:val="134"/>
              <w:spacing w:line="320" w:lineRule="exact"/>
              <w:rPr>
                <w:rFonts w:hint="eastAsia" w:ascii="仿宋" w:hAnsi="仿宋" w:eastAsia="仿宋"/>
                <w:b w:val="0"/>
                <w:bCs/>
                <w:sz w:val="21"/>
                <w:szCs w:val="21"/>
              </w:rPr>
            </w:pPr>
            <w:r>
              <w:rPr>
                <w:rFonts w:hint="eastAsia" w:ascii="仿宋" w:hAnsi="仿宋" w:eastAsia="仿宋"/>
                <w:b w:val="0"/>
                <w:bCs/>
                <w:sz w:val="21"/>
                <w:szCs w:val="21"/>
              </w:rPr>
              <w:t>项目</w:t>
            </w:r>
          </w:p>
        </w:tc>
        <w:tc>
          <w:tcPr>
            <w:tcW w:w="2176" w:type="pct"/>
            <w:shd w:val="clear" w:color="auto" w:fill="D9E2F3" w:themeFill="accent1" w:themeFillTint="33"/>
            <w:vAlign w:val="center"/>
          </w:tcPr>
          <w:p w14:paraId="231AAE78">
            <w:pPr>
              <w:pStyle w:val="134"/>
              <w:spacing w:line="320" w:lineRule="exact"/>
              <w:rPr>
                <w:rFonts w:hint="eastAsia" w:ascii="仿宋" w:hAnsi="仿宋" w:eastAsia="仿宋"/>
                <w:b w:val="0"/>
                <w:bCs/>
                <w:sz w:val="21"/>
                <w:szCs w:val="21"/>
              </w:rPr>
            </w:pPr>
            <w:r>
              <w:rPr>
                <w:rFonts w:hint="eastAsia" w:ascii="仿宋" w:hAnsi="仿宋" w:eastAsia="仿宋"/>
                <w:b w:val="0"/>
                <w:bCs/>
                <w:sz w:val="21"/>
                <w:szCs w:val="21"/>
              </w:rPr>
              <w:t>技术要求</w:t>
            </w:r>
          </w:p>
        </w:tc>
      </w:tr>
      <w:tr w14:paraId="2BFFE9E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22" w:type="pct"/>
            <w:vAlign w:val="center"/>
          </w:tcPr>
          <w:p w14:paraId="17D9D23D">
            <w:pPr>
              <w:spacing w:line="320" w:lineRule="exact"/>
              <w:jc w:val="center"/>
              <w:rPr>
                <w:rFonts w:hint="eastAsia" w:ascii="仿宋" w:hAnsi="仿宋" w:eastAsia="仿宋"/>
                <w:bCs/>
                <w:sz w:val="21"/>
                <w:szCs w:val="21"/>
              </w:rPr>
            </w:pPr>
            <w:r>
              <w:rPr>
                <w:rFonts w:hint="eastAsia" w:ascii="仿宋" w:hAnsi="仿宋" w:eastAsia="仿宋"/>
                <w:bCs/>
                <w:sz w:val="21"/>
                <w:szCs w:val="21"/>
              </w:rPr>
              <w:t>1</w:t>
            </w:r>
          </w:p>
        </w:tc>
        <w:tc>
          <w:tcPr>
            <w:tcW w:w="2002" w:type="pct"/>
            <w:vAlign w:val="center"/>
          </w:tcPr>
          <w:p w14:paraId="1A63357F">
            <w:pPr>
              <w:spacing w:line="320" w:lineRule="exact"/>
              <w:jc w:val="center"/>
              <w:rPr>
                <w:rFonts w:hint="eastAsia" w:ascii="仿宋" w:hAnsi="仿宋" w:eastAsia="仿宋"/>
                <w:bCs/>
                <w:sz w:val="21"/>
                <w:szCs w:val="21"/>
              </w:rPr>
            </w:pPr>
            <w:r>
              <w:rPr>
                <w:rFonts w:hint="eastAsia" w:ascii="仿宋" w:hAnsi="仿宋" w:eastAsia="仿宋"/>
                <w:bCs/>
                <w:sz w:val="21"/>
                <w:szCs w:val="21"/>
              </w:rPr>
              <w:t>坚固性（%）≤</w:t>
            </w:r>
          </w:p>
        </w:tc>
        <w:tc>
          <w:tcPr>
            <w:tcW w:w="2176" w:type="pct"/>
            <w:vAlign w:val="center"/>
          </w:tcPr>
          <w:p w14:paraId="6B07F99D">
            <w:pPr>
              <w:spacing w:line="320" w:lineRule="exact"/>
              <w:jc w:val="center"/>
              <w:rPr>
                <w:rFonts w:hint="eastAsia" w:ascii="仿宋" w:hAnsi="仿宋" w:eastAsia="仿宋"/>
                <w:bCs/>
                <w:sz w:val="21"/>
                <w:szCs w:val="21"/>
              </w:rPr>
            </w:pPr>
            <w:r>
              <w:rPr>
                <w:rFonts w:hint="eastAsia" w:ascii="仿宋" w:hAnsi="仿宋" w:eastAsia="仿宋"/>
                <w:bCs/>
                <w:sz w:val="21"/>
                <w:szCs w:val="21"/>
              </w:rPr>
              <w:t>10</w:t>
            </w:r>
          </w:p>
        </w:tc>
      </w:tr>
      <w:tr w14:paraId="17984A8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22" w:type="pct"/>
            <w:vAlign w:val="center"/>
          </w:tcPr>
          <w:p w14:paraId="13BC41AB">
            <w:pPr>
              <w:spacing w:line="320" w:lineRule="exact"/>
              <w:jc w:val="center"/>
              <w:rPr>
                <w:rFonts w:hint="eastAsia" w:ascii="仿宋" w:hAnsi="仿宋" w:eastAsia="仿宋"/>
                <w:bCs/>
                <w:sz w:val="21"/>
                <w:szCs w:val="21"/>
              </w:rPr>
            </w:pPr>
            <w:r>
              <w:rPr>
                <w:rFonts w:hint="eastAsia" w:ascii="仿宋" w:hAnsi="仿宋" w:eastAsia="仿宋"/>
                <w:bCs/>
                <w:sz w:val="21"/>
                <w:szCs w:val="21"/>
              </w:rPr>
              <w:t>2</w:t>
            </w:r>
          </w:p>
        </w:tc>
        <w:tc>
          <w:tcPr>
            <w:tcW w:w="2002" w:type="pct"/>
            <w:vAlign w:val="center"/>
          </w:tcPr>
          <w:p w14:paraId="38300A4C">
            <w:pPr>
              <w:spacing w:line="320" w:lineRule="exact"/>
              <w:jc w:val="center"/>
              <w:rPr>
                <w:rFonts w:hint="eastAsia" w:ascii="仿宋" w:hAnsi="仿宋" w:eastAsia="仿宋"/>
                <w:bCs/>
                <w:sz w:val="21"/>
                <w:szCs w:val="21"/>
              </w:rPr>
            </w:pPr>
            <w:r>
              <w:rPr>
                <w:rFonts w:hint="eastAsia" w:ascii="仿宋" w:hAnsi="仿宋" w:eastAsia="仿宋"/>
                <w:bCs/>
                <w:sz w:val="21"/>
                <w:szCs w:val="21"/>
              </w:rPr>
              <w:t>含泥量（%）≤</w:t>
            </w:r>
          </w:p>
        </w:tc>
        <w:tc>
          <w:tcPr>
            <w:tcW w:w="2176" w:type="pct"/>
            <w:vAlign w:val="center"/>
          </w:tcPr>
          <w:p w14:paraId="2607E2E6">
            <w:pPr>
              <w:spacing w:line="320" w:lineRule="exact"/>
              <w:jc w:val="center"/>
              <w:rPr>
                <w:rFonts w:hint="eastAsia" w:ascii="仿宋" w:hAnsi="仿宋" w:eastAsia="仿宋"/>
                <w:bCs/>
                <w:sz w:val="21"/>
                <w:szCs w:val="21"/>
              </w:rPr>
            </w:pPr>
            <w:r>
              <w:rPr>
                <w:rFonts w:hint="eastAsia" w:ascii="仿宋" w:hAnsi="仿宋" w:eastAsia="仿宋"/>
                <w:bCs/>
                <w:sz w:val="21"/>
                <w:szCs w:val="21"/>
              </w:rPr>
              <w:t>3</w:t>
            </w:r>
          </w:p>
        </w:tc>
      </w:tr>
      <w:tr w14:paraId="70484C2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22" w:type="pct"/>
            <w:vAlign w:val="center"/>
          </w:tcPr>
          <w:p w14:paraId="486EEC23">
            <w:pPr>
              <w:spacing w:line="320" w:lineRule="exact"/>
              <w:jc w:val="center"/>
              <w:rPr>
                <w:rFonts w:hint="eastAsia" w:ascii="仿宋" w:hAnsi="仿宋" w:eastAsia="仿宋"/>
                <w:bCs/>
                <w:sz w:val="21"/>
                <w:szCs w:val="21"/>
              </w:rPr>
            </w:pPr>
            <w:r>
              <w:rPr>
                <w:rFonts w:hint="eastAsia" w:ascii="仿宋" w:hAnsi="仿宋" w:eastAsia="仿宋"/>
                <w:bCs/>
                <w:sz w:val="21"/>
                <w:szCs w:val="21"/>
              </w:rPr>
              <w:t>3</w:t>
            </w:r>
          </w:p>
        </w:tc>
        <w:tc>
          <w:tcPr>
            <w:tcW w:w="2002" w:type="pct"/>
            <w:vAlign w:val="center"/>
          </w:tcPr>
          <w:p w14:paraId="6265DA2C">
            <w:pPr>
              <w:spacing w:line="320" w:lineRule="exact"/>
              <w:jc w:val="center"/>
              <w:rPr>
                <w:rFonts w:hint="eastAsia" w:ascii="仿宋" w:hAnsi="仿宋" w:eastAsia="仿宋"/>
                <w:bCs/>
                <w:sz w:val="21"/>
                <w:szCs w:val="21"/>
              </w:rPr>
            </w:pPr>
            <w:r>
              <w:rPr>
                <w:rFonts w:hint="eastAsia" w:ascii="仿宋" w:hAnsi="仿宋" w:eastAsia="仿宋"/>
                <w:bCs/>
                <w:sz w:val="21"/>
                <w:szCs w:val="21"/>
              </w:rPr>
              <w:t>吸水率（%）≤</w:t>
            </w:r>
          </w:p>
        </w:tc>
        <w:tc>
          <w:tcPr>
            <w:tcW w:w="2176" w:type="pct"/>
            <w:vAlign w:val="center"/>
          </w:tcPr>
          <w:p w14:paraId="786FB38E">
            <w:pPr>
              <w:spacing w:line="320" w:lineRule="exact"/>
              <w:jc w:val="center"/>
              <w:rPr>
                <w:rFonts w:hint="eastAsia" w:ascii="仿宋" w:hAnsi="仿宋" w:eastAsia="仿宋"/>
                <w:bCs/>
                <w:sz w:val="21"/>
                <w:szCs w:val="21"/>
              </w:rPr>
            </w:pPr>
            <w:r>
              <w:rPr>
                <w:rFonts w:hint="eastAsia" w:ascii="仿宋" w:hAnsi="仿宋" w:eastAsia="仿宋"/>
                <w:bCs/>
                <w:sz w:val="21"/>
                <w:szCs w:val="21"/>
              </w:rPr>
              <w:t>2</w:t>
            </w:r>
          </w:p>
        </w:tc>
      </w:tr>
      <w:tr w14:paraId="1798DF9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22" w:type="pct"/>
            <w:vAlign w:val="center"/>
          </w:tcPr>
          <w:p w14:paraId="209ED195">
            <w:pPr>
              <w:spacing w:line="320" w:lineRule="exact"/>
              <w:jc w:val="center"/>
              <w:rPr>
                <w:rFonts w:hint="eastAsia" w:ascii="仿宋" w:hAnsi="仿宋" w:eastAsia="仿宋"/>
                <w:bCs/>
                <w:sz w:val="21"/>
                <w:szCs w:val="21"/>
              </w:rPr>
            </w:pPr>
            <w:r>
              <w:rPr>
                <w:rFonts w:hint="eastAsia" w:ascii="仿宋" w:hAnsi="仿宋" w:eastAsia="仿宋"/>
                <w:bCs/>
                <w:sz w:val="21"/>
                <w:szCs w:val="21"/>
              </w:rPr>
              <w:t>4</w:t>
            </w:r>
          </w:p>
        </w:tc>
        <w:tc>
          <w:tcPr>
            <w:tcW w:w="2002" w:type="pct"/>
            <w:vAlign w:val="center"/>
          </w:tcPr>
          <w:p w14:paraId="07DB1162">
            <w:pPr>
              <w:spacing w:line="320" w:lineRule="exact"/>
              <w:jc w:val="center"/>
              <w:rPr>
                <w:rFonts w:hint="eastAsia" w:ascii="仿宋" w:hAnsi="仿宋" w:eastAsia="仿宋"/>
                <w:bCs/>
                <w:sz w:val="21"/>
                <w:szCs w:val="21"/>
              </w:rPr>
            </w:pPr>
            <w:r>
              <w:rPr>
                <w:rFonts w:hint="eastAsia" w:ascii="仿宋" w:hAnsi="仿宋" w:eastAsia="仿宋"/>
                <w:bCs/>
                <w:sz w:val="21"/>
                <w:szCs w:val="21"/>
              </w:rPr>
              <w:t>表观密度（kg/m</w:t>
            </w:r>
            <w:r>
              <w:rPr>
                <w:rFonts w:ascii="Calibri" w:hAnsi="Calibri" w:eastAsia="仿宋" w:cs="Calibri"/>
                <w:bCs/>
                <w:sz w:val="21"/>
                <w:szCs w:val="21"/>
              </w:rPr>
              <w:t>³</w:t>
            </w:r>
            <w:r>
              <w:rPr>
                <w:rFonts w:hint="eastAsia" w:ascii="仿宋" w:hAnsi="仿宋" w:eastAsia="仿宋" w:cs="仿宋_GB2312"/>
                <w:bCs/>
                <w:sz w:val="21"/>
                <w:szCs w:val="21"/>
              </w:rPr>
              <w:t>）≥</w:t>
            </w:r>
          </w:p>
        </w:tc>
        <w:tc>
          <w:tcPr>
            <w:tcW w:w="2176" w:type="pct"/>
            <w:vAlign w:val="center"/>
          </w:tcPr>
          <w:p w14:paraId="7A367E51">
            <w:pPr>
              <w:spacing w:line="320" w:lineRule="exact"/>
              <w:jc w:val="center"/>
              <w:rPr>
                <w:rFonts w:hint="eastAsia" w:ascii="仿宋" w:hAnsi="仿宋" w:eastAsia="仿宋"/>
                <w:bCs/>
                <w:sz w:val="21"/>
                <w:szCs w:val="21"/>
              </w:rPr>
            </w:pPr>
            <w:r>
              <w:rPr>
                <w:rFonts w:hint="eastAsia" w:ascii="仿宋" w:hAnsi="仿宋" w:eastAsia="仿宋"/>
                <w:bCs/>
                <w:sz w:val="21"/>
                <w:szCs w:val="21"/>
              </w:rPr>
              <w:t>2500</w:t>
            </w:r>
          </w:p>
        </w:tc>
      </w:tr>
      <w:tr w14:paraId="11E666F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22" w:type="pct"/>
            <w:vAlign w:val="center"/>
          </w:tcPr>
          <w:p w14:paraId="5EC66890">
            <w:pPr>
              <w:spacing w:line="320" w:lineRule="exact"/>
              <w:jc w:val="center"/>
              <w:rPr>
                <w:rFonts w:hint="eastAsia" w:ascii="仿宋" w:hAnsi="仿宋" w:eastAsia="仿宋"/>
                <w:bCs/>
                <w:sz w:val="21"/>
                <w:szCs w:val="21"/>
              </w:rPr>
            </w:pPr>
            <w:r>
              <w:rPr>
                <w:rFonts w:hint="eastAsia" w:ascii="仿宋" w:hAnsi="仿宋" w:eastAsia="仿宋"/>
                <w:bCs/>
                <w:sz w:val="21"/>
                <w:szCs w:val="21"/>
              </w:rPr>
              <w:t>5</w:t>
            </w:r>
          </w:p>
        </w:tc>
        <w:tc>
          <w:tcPr>
            <w:tcW w:w="2002" w:type="pct"/>
            <w:vAlign w:val="center"/>
          </w:tcPr>
          <w:p w14:paraId="7CA64BCD">
            <w:pPr>
              <w:spacing w:line="320" w:lineRule="exact"/>
              <w:jc w:val="center"/>
              <w:rPr>
                <w:rFonts w:hint="eastAsia" w:ascii="仿宋" w:hAnsi="仿宋" w:eastAsia="仿宋"/>
                <w:bCs/>
                <w:sz w:val="21"/>
                <w:szCs w:val="21"/>
              </w:rPr>
            </w:pPr>
            <w:r>
              <w:rPr>
                <w:rFonts w:hint="eastAsia" w:ascii="仿宋" w:hAnsi="仿宋" w:eastAsia="仿宋"/>
                <w:bCs/>
                <w:sz w:val="21"/>
                <w:szCs w:val="21"/>
              </w:rPr>
              <w:t>空隙率（%）≤</w:t>
            </w:r>
          </w:p>
        </w:tc>
        <w:tc>
          <w:tcPr>
            <w:tcW w:w="2176" w:type="pct"/>
            <w:vAlign w:val="center"/>
          </w:tcPr>
          <w:p w14:paraId="12B70278">
            <w:pPr>
              <w:spacing w:line="320" w:lineRule="exact"/>
              <w:jc w:val="center"/>
              <w:rPr>
                <w:rFonts w:hint="eastAsia" w:ascii="仿宋" w:hAnsi="仿宋" w:eastAsia="仿宋"/>
                <w:bCs/>
                <w:sz w:val="21"/>
                <w:szCs w:val="21"/>
              </w:rPr>
            </w:pPr>
            <w:r>
              <w:rPr>
                <w:rFonts w:hint="eastAsia" w:ascii="仿宋" w:hAnsi="仿宋" w:eastAsia="仿宋"/>
                <w:bCs/>
                <w:sz w:val="21"/>
                <w:szCs w:val="21"/>
              </w:rPr>
              <w:t>45</w:t>
            </w:r>
          </w:p>
        </w:tc>
      </w:tr>
    </w:tbl>
    <w:p w14:paraId="4F092CD5">
      <w:pPr>
        <w:pStyle w:val="208"/>
        <w:ind w:firstLine="482" w:firstLineChars="200"/>
        <w:rPr>
          <w:rFonts w:hint="eastAsia"/>
        </w:rPr>
      </w:pPr>
      <w:r>
        <w:rPr>
          <w:rFonts w:hint="eastAsia"/>
        </w:rPr>
        <w:t>外加剂</w:t>
      </w:r>
    </w:p>
    <w:p w14:paraId="2E09C112">
      <w:pPr>
        <w:pStyle w:val="77"/>
        <w:rPr>
          <w:rFonts w:hint="eastAsia" w:ascii="仿宋" w:hAnsi="仿宋" w:eastAsia="仿宋"/>
        </w:rPr>
      </w:pPr>
      <w:r>
        <w:rPr>
          <w:rFonts w:hint="eastAsia" w:ascii="仿宋" w:hAnsi="仿宋" w:eastAsia="仿宋"/>
        </w:rPr>
        <w:t>水泥混凝土内必须掺加引气剂，引气剂应选用表面张力降低值大、水泥稀浆中起泡容量多而细密、泡沫稳定时间长、不溶残渣少的产品。面层水泥混凝土外加剂质量除应符合国家和行业现行相关标准外，应符合《公路水泥混凝土路面施工技术细则》表3.6.1的要求，各项性能的检验方法应符合现行《混凝土外加剂》（GB 8076）的规定。</w:t>
      </w:r>
    </w:p>
    <w:p w14:paraId="47409346">
      <w:pPr>
        <w:pStyle w:val="208"/>
        <w:ind w:firstLine="482" w:firstLineChars="200"/>
        <w:rPr>
          <w:rFonts w:hint="eastAsia"/>
        </w:rPr>
      </w:pPr>
      <w:r>
        <w:rPr>
          <w:rFonts w:hint="eastAsia"/>
        </w:rPr>
        <w:t>水</w:t>
      </w:r>
    </w:p>
    <w:p w14:paraId="135EC610">
      <w:pPr>
        <w:pStyle w:val="77"/>
        <w:rPr>
          <w:rFonts w:hint="eastAsia" w:ascii="仿宋" w:hAnsi="仿宋" w:eastAsia="仿宋"/>
        </w:rPr>
      </w:pPr>
      <w:r>
        <w:rPr>
          <w:rFonts w:hint="eastAsia" w:ascii="仿宋" w:hAnsi="仿宋" w:eastAsia="仿宋"/>
        </w:rPr>
        <w:t>符合现行《生活饮用水卫生标准》（GB 5749）的饮用水可直接作为混凝土搅拌与养生用水。非引用水应进行水质检验，并应符合《公路水泥混凝土路面施工技术细则》表3.5.2的规定，还应与蒸馏水进行水泥凝结时间与水泥胶砂强度的对比试验；对比试验的水泥初凝与终凝时间差均不应大于30min，水泥胶砂3d和28d强度不应低于蒸馏水配制的水泥胶砂3d和28d强度的90%。</w:t>
      </w:r>
    </w:p>
    <w:p w14:paraId="35E1214A">
      <w:pPr>
        <w:pStyle w:val="212"/>
        <w:rPr>
          <w:rFonts w:hint="eastAsia"/>
        </w:rPr>
      </w:pPr>
      <w:r>
        <w:rPr>
          <w:rFonts w:hint="eastAsia"/>
        </w:rPr>
        <w:t>非饮用水质量标准</w:t>
      </w:r>
    </w:p>
    <w:tbl>
      <w:tblPr>
        <w:tblStyle w:val="27"/>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06"/>
        <w:gridCol w:w="2883"/>
        <w:gridCol w:w="2908"/>
        <w:gridCol w:w="2249"/>
        <w:gridCol w:w="1080"/>
      </w:tblGrid>
      <w:tr w14:paraId="5B4B541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454" w:hRule="atLeast"/>
          <w:tblHeader/>
          <w:jc w:val="center"/>
        </w:trPr>
        <w:tc>
          <w:tcPr>
            <w:tcW w:w="406" w:type="pct"/>
            <w:shd w:val="clear" w:color="auto" w:fill="D9E2F3" w:themeFill="accent1" w:themeFillTint="33"/>
            <w:noWrap/>
            <w:vAlign w:val="center"/>
          </w:tcPr>
          <w:p w14:paraId="18C6E6AE">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项次</w:t>
            </w:r>
          </w:p>
        </w:tc>
        <w:tc>
          <w:tcPr>
            <w:tcW w:w="1452" w:type="pct"/>
            <w:shd w:val="clear" w:color="auto" w:fill="D9E2F3" w:themeFill="accent1" w:themeFillTint="33"/>
            <w:noWrap/>
            <w:vAlign w:val="center"/>
          </w:tcPr>
          <w:p w14:paraId="218C700A">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项目</w:t>
            </w:r>
          </w:p>
        </w:tc>
        <w:tc>
          <w:tcPr>
            <w:tcW w:w="1465" w:type="pct"/>
            <w:shd w:val="clear" w:color="auto" w:fill="D9E2F3" w:themeFill="accent1" w:themeFillTint="33"/>
            <w:noWrap/>
            <w:vAlign w:val="center"/>
          </w:tcPr>
          <w:p w14:paraId="23B2E668">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钢筋混凝土及钢纤维混凝土</w:t>
            </w:r>
          </w:p>
        </w:tc>
        <w:tc>
          <w:tcPr>
            <w:tcW w:w="1133" w:type="pct"/>
            <w:shd w:val="clear" w:color="auto" w:fill="D9E2F3" w:themeFill="accent1" w:themeFillTint="33"/>
            <w:noWrap/>
            <w:vAlign w:val="center"/>
          </w:tcPr>
          <w:p w14:paraId="213DF528">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素混凝土</w:t>
            </w:r>
          </w:p>
        </w:tc>
        <w:tc>
          <w:tcPr>
            <w:tcW w:w="544" w:type="pct"/>
            <w:shd w:val="clear" w:color="auto" w:fill="D9E2F3" w:themeFill="accent1" w:themeFillTint="33"/>
            <w:noWrap/>
            <w:vAlign w:val="center"/>
          </w:tcPr>
          <w:p w14:paraId="60F2BD0C">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试验方法</w:t>
            </w:r>
          </w:p>
        </w:tc>
      </w:tr>
      <w:tr w14:paraId="56E95E7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6" w:type="pct"/>
            <w:noWrap/>
            <w:vAlign w:val="center"/>
          </w:tcPr>
          <w:p w14:paraId="73E500CA">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1</w:t>
            </w:r>
          </w:p>
        </w:tc>
        <w:tc>
          <w:tcPr>
            <w:tcW w:w="1452" w:type="pct"/>
            <w:noWrap/>
            <w:vAlign w:val="center"/>
          </w:tcPr>
          <w:p w14:paraId="335C45D0">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PH值≥</w:t>
            </w:r>
          </w:p>
        </w:tc>
        <w:tc>
          <w:tcPr>
            <w:tcW w:w="1465" w:type="pct"/>
            <w:noWrap/>
            <w:vAlign w:val="center"/>
          </w:tcPr>
          <w:p w14:paraId="75EEFCEC">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5.0</w:t>
            </w:r>
          </w:p>
        </w:tc>
        <w:tc>
          <w:tcPr>
            <w:tcW w:w="1133" w:type="pct"/>
            <w:noWrap/>
            <w:vAlign w:val="center"/>
          </w:tcPr>
          <w:p w14:paraId="6C69EB0F">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4.5</w:t>
            </w:r>
          </w:p>
        </w:tc>
        <w:tc>
          <w:tcPr>
            <w:tcW w:w="544" w:type="pct"/>
            <w:vMerge w:val="restart"/>
            <w:noWrap/>
            <w:vAlign w:val="center"/>
          </w:tcPr>
          <w:p w14:paraId="366B8C12">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JGJ 63</w:t>
            </w:r>
          </w:p>
        </w:tc>
      </w:tr>
      <w:tr w14:paraId="5D1EF55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6" w:type="pct"/>
            <w:noWrap/>
            <w:vAlign w:val="center"/>
          </w:tcPr>
          <w:p w14:paraId="51DAB3FB">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2</w:t>
            </w:r>
          </w:p>
        </w:tc>
        <w:tc>
          <w:tcPr>
            <w:tcW w:w="1452" w:type="pct"/>
            <w:noWrap/>
            <w:vAlign w:val="center"/>
          </w:tcPr>
          <w:p w14:paraId="4E378477">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CI含量（mg/L）≤</w:t>
            </w:r>
          </w:p>
        </w:tc>
        <w:tc>
          <w:tcPr>
            <w:tcW w:w="1465" w:type="pct"/>
            <w:noWrap/>
            <w:vAlign w:val="center"/>
          </w:tcPr>
          <w:p w14:paraId="42E1B2BB">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1000</w:t>
            </w:r>
          </w:p>
        </w:tc>
        <w:tc>
          <w:tcPr>
            <w:tcW w:w="1133" w:type="pct"/>
            <w:noWrap/>
            <w:vAlign w:val="center"/>
          </w:tcPr>
          <w:p w14:paraId="6792802E">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3500</w:t>
            </w:r>
          </w:p>
        </w:tc>
        <w:tc>
          <w:tcPr>
            <w:tcW w:w="544" w:type="pct"/>
            <w:vMerge w:val="continue"/>
            <w:noWrap/>
            <w:vAlign w:val="center"/>
          </w:tcPr>
          <w:p w14:paraId="7A4C5327">
            <w:pPr>
              <w:spacing w:line="360" w:lineRule="auto"/>
              <w:jc w:val="center"/>
              <w:rPr>
                <w:rFonts w:hint="eastAsia" w:ascii="仿宋" w:hAnsi="仿宋" w:eastAsia="仿宋" w:cs="宋体"/>
                <w:sz w:val="21"/>
                <w:szCs w:val="21"/>
              </w:rPr>
            </w:pPr>
          </w:p>
        </w:tc>
      </w:tr>
      <w:tr w14:paraId="1D8257A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6" w:type="pct"/>
            <w:noWrap/>
            <w:vAlign w:val="center"/>
          </w:tcPr>
          <w:p w14:paraId="07B68298">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3</w:t>
            </w:r>
          </w:p>
        </w:tc>
        <w:tc>
          <w:tcPr>
            <w:tcW w:w="1452" w:type="pct"/>
            <w:noWrap/>
            <w:vAlign w:val="center"/>
          </w:tcPr>
          <w:p w14:paraId="7FBCA3FB">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SO24含量（mg/L）≤</w:t>
            </w:r>
          </w:p>
        </w:tc>
        <w:tc>
          <w:tcPr>
            <w:tcW w:w="1465" w:type="pct"/>
            <w:noWrap/>
            <w:vAlign w:val="center"/>
          </w:tcPr>
          <w:p w14:paraId="02EBDF2E">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2000</w:t>
            </w:r>
          </w:p>
        </w:tc>
        <w:tc>
          <w:tcPr>
            <w:tcW w:w="1133" w:type="pct"/>
            <w:noWrap/>
            <w:vAlign w:val="center"/>
          </w:tcPr>
          <w:p w14:paraId="2DDD9917">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2700</w:t>
            </w:r>
          </w:p>
        </w:tc>
        <w:tc>
          <w:tcPr>
            <w:tcW w:w="544" w:type="pct"/>
            <w:vMerge w:val="continue"/>
            <w:noWrap/>
            <w:vAlign w:val="center"/>
          </w:tcPr>
          <w:p w14:paraId="2946D5BC">
            <w:pPr>
              <w:spacing w:line="360" w:lineRule="auto"/>
              <w:jc w:val="center"/>
              <w:rPr>
                <w:rFonts w:hint="eastAsia" w:ascii="仿宋" w:hAnsi="仿宋" w:eastAsia="仿宋" w:cs="宋体"/>
                <w:sz w:val="21"/>
                <w:szCs w:val="21"/>
              </w:rPr>
            </w:pPr>
          </w:p>
        </w:tc>
      </w:tr>
      <w:tr w14:paraId="74C32AB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6" w:type="pct"/>
            <w:noWrap/>
            <w:vAlign w:val="center"/>
          </w:tcPr>
          <w:p w14:paraId="2C687629">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4</w:t>
            </w:r>
          </w:p>
        </w:tc>
        <w:tc>
          <w:tcPr>
            <w:tcW w:w="1452" w:type="pct"/>
            <w:noWrap/>
            <w:vAlign w:val="center"/>
          </w:tcPr>
          <w:p w14:paraId="3E89BEFD">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碱含量（mg/L）≤</w:t>
            </w:r>
          </w:p>
        </w:tc>
        <w:tc>
          <w:tcPr>
            <w:tcW w:w="1465" w:type="pct"/>
            <w:noWrap/>
            <w:vAlign w:val="center"/>
          </w:tcPr>
          <w:p w14:paraId="4570BD50">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1500</w:t>
            </w:r>
          </w:p>
        </w:tc>
        <w:tc>
          <w:tcPr>
            <w:tcW w:w="1133" w:type="pct"/>
            <w:noWrap/>
            <w:vAlign w:val="center"/>
          </w:tcPr>
          <w:p w14:paraId="111B71E5">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1500</w:t>
            </w:r>
          </w:p>
        </w:tc>
        <w:tc>
          <w:tcPr>
            <w:tcW w:w="544" w:type="pct"/>
            <w:vMerge w:val="continue"/>
            <w:noWrap/>
            <w:vAlign w:val="center"/>
          </w:tcPr>
          <w:p w14:paraId="64ED0AC6">
            <w:pPr>
              <w:spacing w:line="360" w:lineRule="auto"/>
              <w:jc w:val="center"/>
              <w:rPr>
                <w:rFonts w:hint="eastAsia" w:ascii="仿宋" w:hAnsi="仿宋" w:eastAsia="仿宋" w:cs="宋体"/>
                <w:sz w:val="21"/>
                <w:szCs w:val="21"/>
              </w:rPr>
            </w:pPr>
          </w:p>
        </w:tc>
      </w:tr>
      <w:tr w14:paraId="12A1681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6" w:type="pct"/>
            <w:noWrap/>
            <w:vAlign w:val="center"/>
          </w:tcPr>
          <w:p w14:paraId="7E499D31">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5</w:t>
            </w:r>
          </w:p>
        </w:tc>
        <w:tc>
          <w:tcPr>
            <w:tcW w:w="1452" w:type="pct"/>
            <w:noWrap/>
            <w:vAlign w:val="center"/>
          </w:tcPr>
          <w:p w14:paraId="6920595C">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可溶物含量（mg/L）≤</w:t>
            </w:r>
          </w:p>
        </w:tc>
        <w:tc>
          <w:tcPr>
            <w:tcW w:w="1465" w:type="pct"/>
            <w:noWrap/>
            <w:vAlign w:val="center"/>
          </w:tcPr>
          <w:p w14:paraId="1911024E">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5000</w:t>
            </w:r>
          </w:p>
        </w:tc>
        <w:tc>
          <w:tcPr>
            <w:tcW w:w="1133" w:type="pct"/>
            <w:noWrap/>
            <w:vAlign w:val="center"/>
          </w:tcPr>
          <w:p w14:paraId="3C9222AF">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10000</w:t>
            </w:r>
          </w:p>
        </w:tc>
        <w:tc>
          <w:tcPr>
            <w:tcW w:w="544" w:type="pct"/>
            <w:vMerge w:val="continue"/>
            <w:noWrap/>
            <w:vAlign w:val="center"/>
          </w:tcPr>
          <w:p w14:paraId="4D495DD4">
            <w:pPr>
              <w:spacing w:line="360" w:lineRule="auto"/>
              <w:jc w:val="center"/>
              <w:rPr>
                <w:rFonts w:hint="eastAsia" w:ascii="仿宋" w:hAnsi="仿宋" w:eastAsia="仿宋" w:cs="宋体"/>
                <w:sz w:val="21"/>
                <w:szCs w:val="21"/>
              </w:rPr>
            </w:pPr>
          </w:p>
        </w:tc>
      </w:tr>
      <w:tr w14:paraId="0BFD5D1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6" w:type="pct"/>
            <w:noWrap/>
            <w:vAlign w:val="center"/>
          </w:tcPr>
          <w:p w14:paraId="5522ADD7">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6</w:t>
            </w:r>
          </w:p>
        </w:tc>
        <w:tc>
          <w:tcPr>
            <w:tcW w:w="1452" w:type="pct"/>
            <w:noWrap/>
            <w:vAlign w:val="center"/>
          </w:tcPr>
          <w:p w14:paraId="2E74047F">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不溶物含量（mg/L）≤</w:t>
            </w:r>
          </w:p>
        </w:tc>
        <w:tc>
          <w:tcPr>
            <w:tcW w:w="1465" w:type="pct"/>
            <w:noWrap/>
            <w:vAlign w:val="center"/>
          </w:tcPr>
          <w:p w14:paraId="33DD4B7D">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2000</w:t>
            </w:r>
          </w:p>
        </w:tc>
        <w:tc>
          <w:tcPr>
            <w:tcW w:w="1133" w:type="pct"/>
            <w:noWrap/>
            <w:vAlign w:val="center"/>
          </w:tcPr>
          <w:p w14:paraId="4BA5BB99">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5000</w:t>
            </w:r>
          </w:p>
        </w:tc>
        <w:tc>
          <w:tcPr>
            <w:tcW w:w="544" w:type="pct"/>
            <w:vMerge w:val="continue"/>
            <w:noWrap/>
            <w:vAlign w:val="center"/>
          </w:tcPr>
          <w:p w14:paraId="301AB779">
            <w:pPr>
              <w:spacing w:line="360" w:lineRule="auto"/>
              <w:jc w:val="center"/>
              <w:rPr>
                <w:rFonts w:hint="eastAsia" w:ascii="仿宋" w:hAnsi="仿宋" w:eastAsia="仿宋" w:cs="宋体"/>
                <w:sz w:val="21"/>
                <w:szCs w:val="21"/>
              </w:rPr>
            </w:pPr>
          </w:p>
        </w:tc>
      </w:tr>
      <w:tr w14:paraId="23E51AF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6" w:type="pct"/>
            <w:noWrap/>
            <w:vAlign w:val="center"/>
          </w:tcPr>
          <w:p w14:paraId="11E94E25">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7</w:t>
            </w:r>
          </w:p>
        </w:tc>
        <w:tc>
          <w:tcPr>
            <w:tcW w:w="1452" w:type="pct"/>
            <w:noWrap/>
            <w:vAlign w:val="center"/>
          </w:tcPr>
          <w:p w14:paraId="3E678E8C">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其他杂质</w:t>
            </w:r>
          </w:p>
        </w:tc>
        <w:tc>
          <w:tcPr>
            <w:tcW w:w="2598" w:type="pct"/>
            <w:gridSpan w:val="2"/>
            <w:noWrap/>
            <w:vAlign w:val="center"/>
          </w:tcPr>
          <w:p w14:paraId="25D4780A">
            <w:pPr>
              <w:widowControl/>
              <w:jc w:val="center"/>
              <w:textAlignment w:val="center"/>
              <w:rPr>
                <w:rFonts w:hint="eastAsia" w:ascii="仿宋" w:hAnsi="仿宋" w:eastAsia="仿宋" w:cs="宋体"/>
                <w:color w:val="000000"/>
                <w:kern w:val="0"/>
                <w:sz w:val="21"/>
                <w:szCs w:val="21"/>
                <w:lang w:bidi="ar"/>
              </w:rPr>
            </w:pPr>
            <w:r>
              <w:rPr>
                <w:rFonts w:hint="eastAsia" w:ascii="仿宋" w:hAnsi="仿宋" w:eastAsia="仿宋" w:cs="宋体"/>
                <w:color w:val="000000"/>
                <w:kern w:val="0"/>
                <w:sz w:val="21"/>
                <w:szCs w:val="21"/>
                <w:lang w:bidi="ar"/>
              </w:rPr>
              <w:t>不应有漂浮的油脂和泡沫；不应有明显的颜色和异味</w:t>
            </w:r>
          </w:p>
        </w:tc>
        <w:tc>
          <w:tcPr>
            <w:tcW w:w="544" w:type="pct"/>
            <w:vMerge w:val="continue"/>
            <w:noWrap/>
            <w:vAlign w:val="center"/>
          </w:tcPr>
          <w:p w14:paraId="630DCFAD">
            <w:pPr>
              <w:spacing w:line="360" w:lineRule="auto"/>
              <w:jc w:val="center"/>
              <w:rPr>
                <w:rFonts w:hint="eastAsia" w:ascii="仿宋" w:hAnsi="仿宋" w:eastAsia="仿宋" w:cs="宋体"/>
                <w:sz w:val="21"/>
                <w:szCs w:val="21"/>
              </w:rPr>
            </w:pPr>
          </w:p>
        </w:tc>
      </w:tr>
    </w:tbl>
    <w:p w14:paraId="2747ED31">
      <w:pPr>
        <w:pStyle w:val="208"/>
        <w:ind w:firstLine="482" w:firstLineChars="200"/>
        <w:rPr>
          <w:rFonts w:hint="eastAsia"/>
        </w:rPr>
      </w:pPr>
      <w:r>
        <w:rPr>
          <w:rFonts w:hint="eastAsia"/>
        </w:rPr>
        <w:t>钢筋</w:t>
      </w:r>
    </w:p>
    <w:p w14:paraId="0D632F85">
      <w:pPr>
        <w:pStyle w:val="77"/>
        <w:rPr>
          <w:rFonts w:hint="eastAsia" w:ascii="仿宋" w:hAnsi="仿宋" w:eastAsia="仿宋"/>
        </w:rPr>
      </w:pPr>
      <w:r>
        <w:rPr>
          <w:rFonts w:hint="eastAsia" w:ascii="仿宋" w:hAnsi="仿宋" w:eastAsia="仿宋"/>
        </w:rPr>
        <w:t>1）水泥混凝土、钢筋混凝土及连续配筋混凝土面层所用钢筋、钢筋网、传力杆、拉杆等应符合国家和行业现行相关标准的规定。</w:t>
      </w:r>
    </w:p>
    <w:p w14:paraId="3122B611">
      <w:pPr>
        <w:pStyle w:val="77"/>
        <w:rPr>
          <w:rFonts w:hint="eastAsia" w:ascii="仿宋" w:hAnsi="仿宋" w:eastAsia="仿宋"/>
        </w:rPr>
      </w:pPr>
      <w:r>
        <w:rPr>
          <w:rFonts w:hint="eastAsia" w:ascii="仿宋" w:hAnsi="仿宋" w:eastAsia="仿宋"/>
        </w:rPr>
        <w:t>2）钢筋不得有裂纹、断伤、刻痕、表面油污和锈蚀。配筋混凝土路面与桥面用钢筋宜采用环氧树脂涂层或防锈漆涂层等保护措施。</w:t>
      </w:r>
    </w:p>
    <w:p w14:paraId="1BAF7F39">
      <w:pPr>
        <w:pStyle w:val="77"/>
        <w:rPr>
          <w:rFonts w:hint="eastAsia" w:ascii="仿宋" w:hAnsi="仿宋" w:eastAsia="仿宋"/>
        </w:rPr>
      </w:pPr>
      <w:r>
        <w:rPr>
          <w:rFonts w:hint="eastAsia" w:ascii="仿宋" w:hAnsi="仿宋" w:eastAsia="仿宋"/>
        </w:rPr>
        <w:t>3）传力杆应无毛刺，两端应加工成圆锥形或半径为2～3mm的圆倒角。</w:t>
      </w:r>
    </w:p>
    <w:p w14:paraId="36B06767">
      <w:pPr>
        <w:pStyle w:val="77"/>
        <w:rPr>
          <w:rFonts w:hint="eastAsia" w:ascii="仿宋" w:hAnsi="仿宋" w:eastAsia="仿宋"/>
        </w:rPr>
      </w:pPr>
      <w:r>
        <w:rPr>
          <w:rFonts w:hint="eastAsia" w:ascii="仿宋" w:hAnsi="仿宋" w:eastAsia="仿宋"/>
        </w:rPr>
        <w:t>4）胀缝传力杆应在一端设置镀锌钢管帽或塑料套帽，套帽厚度不应小于2.0mm，并应密封不透水，套帽长度宜为100mm，套帽内活动空隙长度宜为30mm。</w:t>
      </w:r>
    </w:p>
    <w:p w14:paraId="287BAF04">
      <w:pPr>
        <w:pStyle w:val="77"/>
        <w:rPr>
          <w:rFonts w:hint="eastAsia" w:ascii="仿宋" w:hAnsi="仿宋" w:eastAsia="仿宋"/>
        </w:rPr>
      </w:pPr>
      <w:r>
        <w:rPr>
          <w:rFonts w:hint="eastAsia" w:ascii="仿宋" w:hAnsi="仿宋" w:eastAsia="仿宋"/>
        </w:rPr>
        <w:t>5）传力杆钢筋应采取喷塑哦、镀锌、电镀或涂防锈漆等防锈措施，防锈层不得局部缺失。拉杆钢筋应在中部不小于100mm范围内采用涂防锈漆等防锈措施。</w:t>
      </w:r>
    </w:p>
    <w:p w14:paraId="2BF5E2B4">
      <w:pPr>
        <w:pStyle w:val="208"/>
        <w:ind w:firstLine="482" w:firstLineChars="200"/>
        <w:rPr>
          <w:rFonts w:hint="eastAsia"/>
        </w:rPr>
      </w:pPr>
      <w:r>
        <w:rPr>
          <w:rFonts w:hint="eastAsia"/>
        </w:rPr>
        <w:t>接缝材料</w:t>
      </w:r>
    </w:p>
    <w:p w14:paraId="1306DA5A">
      <w:pPr>
        <w:pStyle w:val="77"/>
        <w:rPr>
          <w:rFonts w:hint="eastAsia" w:ascii="仿宋" w:hAnsi="仿宋" w:eastAsia="仿宋"/>
        </w:rPr>
      </w:pPr>
      <w:r>
        <w:rPr>
          <w:rFonts w:hint="eastAsia" w:ascii="仿宋" w:hAnsi="仿宋" w:eastAsia="仿宋"/>
        </w:rPr>
        <w:t>1）用于水泥混凝土面层的胀缝板高度、长度、厚度应符合设计要求，并按设计间距预留传力杆孔。孔径宜大于传力杆直径2mm，高度和厚度尺寸偏差均应小于1.5mm。胀缝板的质量应符合下表要求。</w:t>
      </w:r>
    </w:p>
    <w:tbl>
      <w:tblPr>
        <w:tblStyle w:val="27"/>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481"/>
        <w:gridCol w:w="2481"/>
        <w:gridCol w:w="2482"/>
        <w:gridCol w:w="2482"/>
      </w:tblGrid>
      <w:tr w14:paraId="2B2802A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250" w:type="pct"/>
            <w:vMerge w:val="restart"/>
            <w:shd w:val="clear" w:color="auto" w:fill="D9E2F3" w:themeFill="accent1" w:themeFillTint="33"/>
            <w:vAlign w:val="center"/>
          </w:tcPr>
          <w:p w14:paraId="08F362B3">
            <w:pPr>
              <w:pStyle w:val="226"/>
              <w:rPr>
                <w:rFonts w:hint="eastAsia" w:ascii="仿宋" w:hAnsi="仿宋" w:eastAsia="仿宋"/>
                <w:color w:val="auto"/>
              </w:rPr>
            </w:pPr>
            <w:r>
              <w:rPr>
                <w:rFonts w:hint="eastAsia" w:ascii="仿宋" w:hAnsi="仿宋" w:eastAsia="仿宋"/>
                <w:color w:val="auto"/>
              </w:rPr>
              <w:t>项目</w:t>
            </w:r>
          </w:p>
        </w:tc>
        <w:tc>
          <w:tcPr>
            <w:tcW w:w="3750" w:type="pct"/>
            <w:gridSpan w:val="3"/>
            <w:shd w:val="clear" w:color="auto" w:fill="D9E2F3" w:themeFill="accent1" w:themeFillTint="33"/>
            <w:vAlign w:val="center"/>
          </w:tcPr>
          <w:p w14:paraId="7C1E22BF">
            <w:pPr>
              <w:pStyle w:val="226"/>
              <w:ind w:firstLine="42" w:firstLineChars="20"/>
              <w:rPr>
                <w:rFonts w:hint="eastAsia" w:ascii="仿宋" w:hAnsi="仿宋" w:eastAsia="仿宋"/>
                <w:color w:val="auto"/>
              </w:rPr>
            </w:pPr>
            <w:r>
              <w:rPr>
                <w:rFonts w:hint="eastAsia" w:ascii="仿宋" w:hAnsi="仿宋" w:eastAsia="仿宋"/>
                <w:color w:val="auto"/>
              </w:rPr>
              <w:t>胀缝板的种类</w:t>
            </w:r>
          </w:p>
        </w:tc>
      </w:tr>
      <w:tr w14:paraId="60A0897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250" w:type="pct"/>
            <w:vMerge w:val="continue"/>
            <w:shd w:val="clear" w:color="auto" w:fill="D9E2F3" w:themeFill="accent1" w:themeFillTint="33"/>
            <w:vAlign w:val="center"/>
          </w:tcPr>
          <w:p w14:paraId="38FAB7E1">
            <w:pPr>
              <w:pStyle w:val="226"/>
              <w:rPr>
                <w:rFonts w:hint="eastAsia" w:ascii="仿宋" w:hAnsi="仿宋" w:eastAsia="仿宋"/>
                <w:color w:val="auto"/>
              </w:rPr>
            </w:pPr>
          </w:p>
        </w:tc>
        <w:tc>
          <w:tcPr>
            <w:tcW w:w="1250" w:type="pct"/>
            <w:shd w:val="clear" w:color="auto" w:fill="D9E2F3" w:themeFill="accent1" w:themeFillTint="33"/>
            <w:vAlign w:val="center"/>
          </w:tcPr>
          <w:p w14:paraId="056D0C35">
            <w:pPr>
              <w:pStyle w:val="226"/>
              <w:ind w:firstLine="42" w:firstLineChars="20"/>
              <w:rPr>
                <w:rFonts w:hint="eastAsia" w:ascii="仿宋" w:hAnsi="仿宋" w:eastAsia="仿宋"/>
                <w:color w:val="auto"/>
              </w:rPr>
            </w:pPr>
            <w:r>
              <w:rPr>
                <w:rFonts w:hint="eastAsia" w:ascii="仿宋" w:hAnsi="仿宋" w:eastAsia="仿宋"/>
                <w:color w:val="auto"/>
              </w:rPr>
              <w:t>塑胶板、橡胶（泡沫）板</w:t>
            </w:r>
          </w:p>
        </w:tc>
        <w:tc>
          <w:tcPr>
            <w:tcW w:w="1250" w:type="pct"/>
            <w:shd w:val="clear" w:color="auto" w:fill="D9E2F3" w:themeFill="accent1" w:themeFillTint="33"/>
            <w:vAlign w:val="center"/>
          </w:tcPr>
          <w:p w14:paraId="4379FC16">
            <w:pPr>
              <w:pStyle w:val="226"/>
              <w:ind w:firstLine="42" w:firstLineChars="20"/>
              <w:rPr>
                <w:rFonts w:hint="eastAsia" w:ascii="仿宋" w:hAnsi="仿宋" w:eastAsia="仿宋"/>
                <w:color w:val="auto"/>
              </w:rPr>
            </w:pPr>
            <w:r>
              <w:rPr>
                <w:rFonts w:hint="eastAsia" w:ascii="仿宋" w:hAnsi="仿宋" w:eastAsia="仿宋"/>
                <w:color w:val="auto"/>
              </w:rPr>
              <w:t>沥青纤维板</w:t>
            </w:r>
          </w:p>
        </w:tc>
        <w:tc>
          <w:tcPr>
            <w:tcW w:w="1250" w:type="pct"/>
            <w:shd w:val="clear" w:color="auto" w:fill="D9E2F3" w:themeFill="accent1" w:themeFillTint="33"/>
            <w:vAlign w:val="center"/>
          </w:tcPr>
          <w:p w14:paraId="39C89FA0">
            <w:pPr>
              <w:pStyle w:val="226"/>
              <w:ind w:firstLine="42" w:firstLineChars="20"/>
              <w:rPr>
                <w:rFonts w:hint="eastAsia" w:ascii="仿宋" w:hAnsi="仿宋" w:eastAsia="仿宋"/>
                <w:color w:val="auto"/>
              </w:rPr>
            </w:pPr>
            <w:r>
              <w:rPr>
                <w:rFonts w:hint="eastAsia" w:ascii="仿宋" w:hAnsi="仿宋" w:eastAsia="仿宋"/>
                <w:color w:val="auto"/>
              </w:rPr>
              <w:t>浸油木板</w:t>
            </w:r>
          </w:p>
        </w:tc>
      </w:tr>
      <w:tr w14:paraId="2BE0108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50" w:type="pct"/>
            <w:vAlign w:val="center"/>
          </w:tcPr>
          <w:p w14:paraId="09C6EAAF">
            <w:pPr>
              <w:pStyle w:val="226"/>
              <w:rPr>
                <w:rFonts w:hint="eastAsia" w:ascii="仿宋" w:hAnsi="仿宋" w:eastAsia="仿宋"/>
                <w:color w:val="auto"/>
              </w:rPr>
            </w:pPr>
            <w:r>
              <w:rPr>
                <w:rFonts w:hint="eastAsia" w:ascii="仿宋" w:hAnsi="仿宋" w:eastAsia="仿宋"/>
                <w:color w:val="auto"/>
              </w:rPr>
              <w:t>压缩应力（MPa）</w:t>
            </w:r>
          </w:p>
        </w:tc>
        <w:tc>
          <w:tcPr>
            <w:tcW w:w="1250" w:type="pct"/>
            <w:vAlign w:val="center"/>
          </w:tcPr>
          <w:p w14:paraId="2F25FB7D">
            <w:pPr>
              <w:pStyle w:val="226"/>
              <w:ind w:firstLine="42" w:firstLineChars="20"/>
              <w:rPr>
                <w:rFonts w:hint="eastAsia" w:ascii="仿宋" w:hAnsi="仿宋" w:eastAsia="仿宋"/>
                <w:color w:val="auto"/>
              </w:rPr>
            </w:pPr>
            <w:r>
              <w:rPr>
                <w:rFonts w:hint="eastAsia" w:ascii="仿宋" w:hAnsi="仿宋" w:eastAsia="仿宋"/>
                <w:color w:val="auto"/>
              </w:rPr>
              <w:t>0.2～0.6</w:t>
            </w:r>
          </w:p>
        </w:tc>
        <w:tc>
          <w:tcPr>
            <w:tcW w:w="1250" w:type="pct"/>
            <w:vAlign w:val="center"/>
          </w:tcPr>
          <w:p w14:paraId="5F2DC1ED">
            <w:pPr>
              <w:pStyle w:val="226"/>
              <w:ind w:firstLine="42" w:firstLineChars="20"/>
              <w:rPr>
                <w:rFonts w:hint="eastAsia" w:ascii="仿宋" w:hAnsi="仿宋" w:eastAsia="仿宋"/>
                <w:color w:val="auto"/>
              </w:rPr>
            </w:pPr>
            <w:r>
              <w:rPr>
                <w:rFonts w:hint="eastAsia" w:ascii="仿宋" w:hAnsi="仿宋" w:eastAsia="仿宋"/>
                <w:color w:val="auto"/>
              </w:rPr>
              <w:t>2.0～10.0</w:t>
            </w:r>
          </w:p>
        </w:tc>
        <w:tc>
          <w:tcPr>
            <w:tcW w:w="1250" w:type="pct"/>
            <w:vAlign w:val="center"/>
          </w:tcPr>
          <w:p w14:paraId="797580EE">
            <w:pPr>
              <w:pStyle w:val="226"/>
              <w:ind w:firstLine="42" w:firstLineChars="20"/>
              <w:rPr>
                <w:rFonts w:hint="eastAsia" w:ascii="仿宋" w:hAnsi="仿宋" w:eastAsia="仿宋"/>
                <w:color w:val="auto"/>
              </w:rPr>
            </w:pPr>
            <w:r>
              <w:rPr>
                <w:rFonts w:hint="eastAsia" w:ascii="仿宋" w:hAnsi="仿宋" w:eastAsia="仿宋"/>
                <w:color w:val="auto"/>
              </w:rPr>
              <w:t>5.0～20.0</w:t>
            </w:r>
          </w:p>
        </w:tc>
      </w:tr>
      <w:tr w14:paraId="1E9CC4C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50" w:type="pct"/>
            <w:vAlign w:val="center"/>
          </w:tcPr>
          <w:p w14:paraId="4DE65AB7">
            <w:pPr>
              <w:pStyle w:val="226"/>
              <w:rPr>
                <w:rFonts w:hint="eastAsia" w:ascii="仿宋" w:hAnsi="仿宋" w:eastAsia="仿宋"/>
                <w:color w:val="auto"/>
              </w:rPr>
            </w:pPr>
            <w:r>
              <w:rPr>
                <w:rFonts w:hint="eastAsia" w:ascii="仿宋" w:hAnsi="仿宋" w:eastAsia="仿宋"/>
                <w:color w:val="auto"/>
              </w:rPr>
              <w:t>弹性复原率（%）≥</w:t>
            </w:r>
          </w:p>
        </w:tc>
        <w:tc>
          <w:tcPr>
            <w:tcW w:w="1250" w:type="pct"/>
            <w:vAlign w:val="center"/>
          </w:tcPr>
          <w:p w14:paraId="1932F241">
            <w:pPr>
              <w:pStyle w:val="226"/>
              <w:ind w:firstLine="42" w:firstLineChars="20"/>
              <w:rPr>
                <w:rFonts w:hint="eastAsia" w:ascii="仿宋" w:hAnsi="仿宋" w:eastAsia="仿宋"/>
                <w:color w:val="auto"/>
              </w:rPr>
            </w:pPr>
            <w:r>
              <w:rPr>
                <w:rFonts w:hint="eastAsia" w:ascii="仿宋" w:hAnsi="仿宋" w:eastAsia="仿宋"/>
                <w:color w:val="auto"/>
              </w:rPr>
              <w:t>90</w:t>
            </w:r>
          </w:p>
        </w:tc>
        <w:tc>
          <w:tcPr>
            <w:tcW w:w="1250" w:type="pct"/>
            <w:vAlign w:val="center"/>
          </w:tcPr>
          <w:p w14:paraId="52845DEF">
            <w:pPr>
              <w:pStyle w:val="226"/>
              <w:ind w:firstLine="42" w:firstLineChars="20"/>
              <w:rPr>
                <w:rFonts w:hint="eastAsia" w:ascii="仿宋" w:hAnsi="仿宋" w:eastAsia="仿宋"/>
                <w:color w:val="auto"/>
              </w:rPr>
            </w:pPr>
            <w:r>
              <w:rPr>
                <w:rFonts w:hint="eastAsia" w:ascii="仿宋" w:hAnsi="仿宋" w:eastAsia="仿宋"/>
                <w:color w:val="auto"/>
              </w:rPr>
              <w:t>65</w:t>
            </w:r>
          </w:p>
        </w:tc>
        <w:tc>
          <w:tcPr>
            <w:tcW w:w="1250" w:type="pct"/>
            <w:vAlign w:val="center"/>
          </w:tcPr>
          <w:p w14:paraId="3B148E1D">
            <w:pPr>
              <w:pStyle w:val="226"/>
              <w:ind w:firstLine="42" w:firstLineChars="20"/>
              <w:rPr>
                <w:rFonts w:hint="eastAsia" w:ascii="仿宋" w:hAnsi="仿宋" w:eastAsia="仿宋"/>
                <w:color w:val="auto"/>
              </w:rPr>
            </w:pPr>
            <w:r>
              <w:rPr>
                <w:rFonts w:hint="eastAsia" w:ascii="仿宋" w:hAnsi="仿宋" w:eastAsia="仿宋"/>
                <w:color w:val="auto"/>
              </w:rPr>
              <w:t>55</w:t>
            </w:r>
          </w:p>
        </w:tc>
      </w:tr>
      <w:tr w14:paraId="4401D44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50" w:type="pct"/>
            <w:vAlign w:val="center"/>
          </w:tcPr>
          <w:p w14:paraId="7F35E2C0">
            <w:pPr>
              <w:pStyle w:val="226"/>
              <w:rPr>
                <w:rFonts w:hint="eastAsia" w:ascii="仿宋" w:hAnsi="仿宋" w:eastAsia="仿宋"/>
                <w:color w:val="auto"/>
              </w:rPr>
            </w:pPr>
            <w:r>
              <w:rPr>
                <w:rFonts w:hint="eastAsia" w:ascii="仿宋" w:hAnsi="仿宋" w:eastAsia="仿宋"/>
                <w:color w:val="auto"/>
              </w:rPr>
              <w:t>挤出量（</w:t>
            </w:r>
            <w:r>
              <w:rPr>
                <w:rFonts w:ascii="仿宋" w:hAnsi="仿宋" w:eastAsia="仿宋"/>
                <w:color w:val="auto"/>
              </w:rPr>
              <w:t>mm</w:t>
            </w:r>
            <w:r>
              <w:rPr>
                <w:rFonts w:hint="eastAsia" w:ascii="仿宋" w:hAnsi="仿宋" w:eastAsia="仿宋"/>
                <w:color w:val="auto"/>
              </w:rPr>
              <w:t>）</w:t>
            </w:r>
            <w:r>
              <w:rPr>
                <w:rFonts w:ascii="仿宋" w:hAnsi="仿宋" w:eastAsia="仿宋"/>
                <w:color w:val="auto"/>
              </w:rPr>
              <w:t>&lt;</w:t>
            </w:r>
          </w:p>
        </w:tc>
        <w:tc>
          <w:tcPr>
            <w:tcW w:w="1250" w:type="pct"/>
            <w:vAlign w:val="center"/>
          </w:tcPr>
          <w:p w14:paraId="5148E57F">
            <w:pPr>
              <w:pStyle w:val="226"/>
              <w:ind w:firstLine="42" w:firstLineChars="20"/>
              <w:rPr>
                <w:rFonts w:hint="eastAsia" w:ascii="仿宋" w:hAnsi="仿宋" w:eastAsia="仿宋"/>
                <w:color w:val="auto"/>
              </w:rPr>
            </w:pPr>
            <w:r>
              <w:rPr>
                <w:rFonts w:hint="eastAsia" w:ascii="仿宋" w:hAnsi="仿宋" w:eastAsia="仿宋"/>
                <w:color w:val="auto"/>
              </w:rPr>
              <w:t>5.0</w:t>
            </w:r>
          </w:p>
        </w:tc>
        <w:tc>
          <w:tcPr>
            <w:tcW w:w="1250" w:type="pct"/>
            <w:vAlign w:val="center"/>
          </w:tcPr>
          <w:p w14:paraId="74991BD0">
            <w:pPr>
              <w:pStyle w:val="226"/>
              <w:ind w:firstLine="42" w:firstLineChars="20"/>
              <w:rPr>
                <w:rFonts w:hint="eastAsia" w:ascii="仿宋" w:hAnsi="仿宋" w:eastAsia="仿宋"/>
                <w:color w:val="auto"/>
              </w:rPr>
            </w:pPr>
            <w:r>
              <w:rPr>
                <w:rFonts w:hint="eastAsia" w:ascii="仿宋" w:hAnsi="仿宋" w:eastAsia="仿宋"/>
                <w:color w:val="auto"/>
              </w:rPr>
              <w:t>3.0</w:t>
            </w:r>
          </w:p>
        </w:tc>
        <w:tc>
          <w:tcPr>
            <w:tcW w:w="1250" w:type="pct"/>
            <w:vAlign w:val="center"/>
          </w:tcPr>
          <w:p w14:paraId="30CD033C">
            <w:pPr>
              <w:pStyle w:val="226"/>
              <w:ind w:firstLine="42" w:firstLineChars="20"/>
              <w:rPr>
                <w:rFonts w:hint="eastAsia" w:ascii="仿宋" w:hAnsi="仿宋" w:eastAsia="仿宋"/>
                <w:color w:val="auto"/>
              </w:rPr>
            </w:pPr>
            <w:r>
              <w:rPr>
                <w:rFonts w:hint="eastAsia" w:ascii="仿宋" w:hAnsi="仿宋" w:eastAsia="仿宋"/>
                <w:color w:val="auto"/>
              </w:rPr>
              <w:t>5.5</w:t>
            </w:r>
          </w:p>
        </w:tc>
      </w:tr>
      <w:tr w14:paraId="479396E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50" w:type="pct"/>
            <w:vAlign w:val="center"/>
          </w:tcPr>
          <w:p w14:paraId="1538E26A">
            <w:pPr>
              <w:pStyle w:val="226"/>
              <w:rPr>
                <w:rFonts w:hint="eastAsia" w:ascii="仿宋" w:hAnsi="仿宋" w:eastAsia="仿宋"/>
                <w:color w:val="auto"/>
              </w:rPr>
            </w:pPr>
            <w:r>
              <w:rPr>
                <w:rFonts w:hint="eastAsia" w:ascii="仿宋" w:hAnsi="仿宋" w:eastAsia="仿宋"/>
                <w:color w:val="auto"/>
              </w:rPr>
              <w:t>弯曲荷载（N）</w:t>
            </w:r>
          </w:p>
        </w:tc>
        <w:tc>
          <w:tcPr>
            <w:tcW w:w="1250" w:type="pct"/>
            <w:vAlign w:val="center"/>
          </w:tcPr>
          <w:p w14:paraId="4252A857">
            <w:pPr>
              <w:pStyle w:val="226"/>
              <w:ind w:firstLine="42" w:firstLineChars="20"/>
              <w:rPr>
                <w:rFonts w:hint="eastAsia" w:ascii="仿宋" w:hAnsi="仿宋" w:eastAsia="仿宋"/>
                <w:color w:val="auto"/>
              </w:rPr>
            </w:pPr>
            <w:r>
              <w:rPr>
                <w:rFonts w:hint="eastAsia" w:ascii="仿宋" w:hAnsi="仿宋" w:eastAsia="仿宋"/>
                <w:color w:val="auto"/>
              </w:rPr>
              <w:t>0～50</w:t>
            </w:r>
          </w:p>
        </w:tc>
        <w:tc>
          <w:tcPr>
            <w:tcW w:w="1250" w:type="pct"/>
            <w:vAlign w:val="center"/>
          </w:tcPr>
          <w:p w14:paraId="7810F568">
            <w:pPr>
              <w:pStyle w:val="226"/>
              <w:ind w:firstLine="42" w:firstLineChars="20"/>
              <w:rPr>
                <w:rFonts w:hint="eastAsia" w:ascii="仿宋" w:hAnsi="仿宋" w:eastAsia="仿宋"/>
                <w:color w:val="auto"/>
              </w:rPr>
            </w:pPr>
            <w:r>
              <w:rPr>
                <w:rFonts w:hint="eastAsia" w:ascii="仿宋" w:hAnsi="仿宋" w:eastAsia="仿宋"/>
                <w:color w:val="auto"/>
              </w:rPr>
              <w:t>5～40</w:t>
            </w:r>
          </w:p>
        </w:tc>
        <w:tc>
          <w:tcPr>
            <w:tcW w:w="1250" w:type="pct"/>
            <w:vAlign w:val="center"/>
          </w:tcPr>
          <w:p w14:paraId="3DA394E3">
            <w:pPr>
              <w:pStyle w:val="226"/>
              <w:ind w:firstLine="42" w:firstLineChars="20"/>
              <w:rPr>
                <w:rFonts w:hint="eastAsia" w:ascii="仿宋" w:hAnsi="仿宋" w:eastAsia="仿宋"/>
                <w:color w:val="auto"/>
              </w:rPr>
            </w:pPr>
            <w:r>
              <w:rPr>
                <w:rFonts w:hint="eastAsia" w:ascii="仿宋" w:hAnsi="仿宋" w:eastAsia="仿宋"/>
                <w:color w:val="auto"/>
              </w:rPr>
              <w:t>100～400</w:t>
            </w:r>
          </w:p>
        </w:tc>
      </w:tr>
    </w:tbl>
    <w:p w14:paraId="04116FAB">
      <w:pPr>
        <w:pStyle w:val="77"/>
        <w:rPr>
          <w:rFonts w:hint="eastAsia" w:ascii="仿宋" w:hAnsi="仿宋" w:eastAsia="仿宋"/>
        </w:rPr>
      </w:pPr>
      <w:r>
        <w:rPr>
          <w:rFonts w:hint="eastAsia" w:ascii="仿宋" w:hAnsi="仿宋" w:eastAsia="仿宋"/>
        </w:rPr>
        <w:t>2）聚氨酯类常温施工填缝料质量应符合表《聚氨酯类常温施工式填缝料的质量标准》规定。</w:t>
      </w:r>
    </w:p>
    <w:p w14:paraId="2BF5B2BD">
      <w:pPr>
        <w:pStyle w:val="77"/>
        <w:rPr>
          <w:rFonts w:hint="eastAsia" w:ascii="仿宋" w:hAnsi="仿宋" w:eastAsia="仿宋"/>
        </w:rPr>
      </w:pPr>
      <w:r>
        <w:rPr>
          <w:rFonts w:hint="eastAsia" w:ascii="仿宋" w:hAnsi="仿宋" w:eastAsia="仿宋"/>
        </w:rPr>
        <w:t>3）填缝背衬垫条应具有弹性良好、柔韧性好、不吸水、耐酸碱腐蚀剂高温不软化等性能。背衬垫条可采用橡胶条、发泡聚氨酯、微孔泡沫塑料的制成，其形状宜为可压缩圆柱形，直径比接缝宽度大2-5mm。</w:t>
      </w:r>
    </w:p>
    <w:p w14:paraId="0BD6B84E">
      <w:pPr>
        <w:pStyle w:val="212"/>
        <w:rPr>
          <w:rFonts w:hint="eastAsia"/>
        </w:rPr>
      </w:pPr>
      <w:r>
        <w:rPr>
          <w:rFonts w:hint="eastAsia"/>
        </w:rPr>
        <w:t>聚氨酯类常温施工式填缝料的质量标准</w:t>
      </w:r>
    </w:p>
    <w:tbl>
      <w:tblPr>
        <w:tblStyle w:val="27"/>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111"/>
        <w:gridCol w:w="1396"/>
        <w:gridCol w:w="4419"/>
      </w:tblGrid>
      <w:tr w14:paraId="03512A6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2774" w:type="pct"/>
            <w:gridSpan w:val="2"/>
            <w:shd w:val="clear" w:color="auto" w:fill="D9E2F3" w:themeFill="accent1" w:themeFillTint="33"/>
            <w:vAlign w:val="center"/>
          </w:tcPr>
          <w:p w14:paraId="4769524A">
            <w:pPr>
              <w:pStyle w:val="226"/>
              <w:rPr>
                <w:rFonts w:hint="eastAsia" w:ascii="仿宋" w:hAnsi="仿宋" w:eastAsia="仿宋"/>
                <w:color w:val="auto"/>
              </w:rPr>
            </w:pPr>
            <w:r>
              <w:rPr>
                <w:rFonts w:hint="eastAsia" w:ascii="仿宋" w:hAnsi="仿宋" w:eastAsia="仿宋"/>
                <w:color w:val="auto"/>
              </w:rPr>
              <w:t>项目</w:t>
            </w:r>
          </w:p>
        </w:tc>
        <w:tc>
          <w:tcPr>
            <w:tcW w:w="2226" w:type="pct"/>
            <w:shd w:val="clear" w:color="auto" w:fill="D9E2F3" w:themeFill="accent1" w:themeFillTint="33"/>
            <w:vAlign w:val="center"/>
          </w:tcPr>
          <w:p w14:paraId="2E86C570">
            <w:pPr>
              <w:pStyle w:val="226"/>
              <w:rPr>
                <w:rFonts w:hint="eastAsia" w:ascii="仿宋" w:hAnsi="仿宋" w:eastAsia="仿宋"/>
                <w:color w:val="auto"/>
              </w:rPr>
            </w:pPr>
            <w:r>
              <w:rPr>
                <w:rFonts w:hint="eastAsia" w:ascii="仿宋" w:hAnsi="仿宋" w:eastAsia="仿宋"/>
                <w:color w:val="auto"/>
              </w:rPr>
              <w:t>低模量型</w:t>
            </w:r>
          </w:p>
        </w:tc>
      </w:tr>
      <w:tr w14:paraId="10EB938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74" w:type="pct"/>
            <w:gridSpan w:val="2"/>
            <w:vAlign w:val="center"/>
          </w:tcPr>
          <w:p w14:paraId="5BD3E37E">
            <w:pPr>
              <w:pStyle w:val="226"/>
              <w:rPr>
                <w:rFonts w:hint="eastAsia" w:ascii="仿宋" w:hAnsi="仿宋" w:eastAsia="仿宋"/>
                <w:color w:val="auto"/>
              </w:rPr>
            </w:pPr>
            <w:r>
              <w:rPr>
                <w:rFonts w:hint="eastAsia" w:ascii="仿宋" w:hAnsi="仿宋" w:eastAsia="仿宋"/>
                <w:color w:val="auto"/>
              </w:rPr>
              <w:t>表干时间（h）≤</w:t>
            </w:r>
          </w:p>
        </w:tc>
        <w:tc>
          <w:tcPr>
            <w:tcW w:w="2226" w:type="pct"/>
            <w:vAlign w:val="center"/>
          </w:tcPr>
          <w:p w14:paraId="6ACB3636">
            <w:pPr>
              <w:pStyle w:val="226"/>
              <w:rPr>
                <w:rFonts w:hint="eastAsia" w:ascii="仿宋" w:hAnsi="仿宋" w:eastAsia="仿宋"/>
                <w:color w:val="auto"/>
              </w:rPr>
            </w:pPr>
            <w:r>
              <w:rPr>
                <w:rFonts w:hint="eastAsia" w:ascii="仿宋" w:hAnsi="仿宋" w:eastAsia="仿宋"/>
                <w:color w:val="auto"/>
              </w:rPr>
              <w:t>4</w:t>
            </w:r>
          </w:p>
        </w:tc>
      </w:tr>
      <w:tr w14:paraId="0CA8C5B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74" w:type="pct"/>
            <w:gridSpan w:val="2"/>
            <w:vAlign w:val="center"/>
          </w:tcPr>
          <w:p w14:paraId="38868645">
            <w:pPr>
              <w:pStyle w:val="226"/>
              <w:rPr>
                <w:rFonts w:hint="eastAsia" w:ascii="仿宋" w:hAnsi="仿宋" w:eastAsia="仿宋"/>
                <w:color w:val="auto"/>
              </w:rPr>
            </w:pPr>
            <w:r>
              <w:rPr>
                <w:rFonts w:hint="eastAsia" w:ascii="仿宋" w:hAnsi="仿宋" w:eastAsia="仿宋"/>
                <w:color w:val="auto"/>
              </w:rPr>
              <w:t>失黏～固化时间（h）≤</w:t>
            </w:r>
          </w:p>
        </w:tc>
        <w:tc>
          <w:tcPr>
            <w:tcW w:w="2226" w:type="pct"/>
            <w:vAlign w:val="center"/>
          </w:tcPr>
          <w:p w14:paraId="1BD9C6B5">
            <w:pPr>
              <w:pStyle w:val="226"/>
              <w:rPr>
                <w:rFonts w:hint="eastAsia" w:ascii="仿宋" w:hAnsi="仿宋" w:eastAsia="仿宋"/>
                <w:color w:val="auto"/>
              </w:rPr>
            </w:pPr>
            <w:r>
              <w:rPr>
                <w:rFonts w:hint="eastAsia" w:ascii="仿宋" w:hAnsi="仿宋" w:eastAsia="仿宋"/>
                <w:color w:val="auto"/>
              </w:rPr>
              <w:t>12</w:t>
            </w:r>
          </w:p>
        </w:tc>
      </w:tr>
      <w:tr w14:paraId="366B470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71" w:type="pct"/>
            <w:vMerge w:val="restart"/>
            <w:vAlign w:val="center"/>
          </w:tcPr>
          <w:p w14:paraId="41B63E59">
            <w:pPr>
              <w:pStyle w:val="226"/>
              <w:rPr>
                <w:rFonts w:hint="eastAsia" w:ascii="仿宋" w:hAnsi="仿宋" w:eastAsia="仿宋"/>
                <w:color w:val="auto"/>
              </w:rPr>
            </w:pPr>
            <w:r>
              <w:rPr>
                <w:rFonts w:hint="eastAsia" w:ascii="仿宋" w:hAnsi="仿宋" w:eastAsia="仿宋"/>
                <w:color w:val="auto"/>
              </w:rPr>
              <w:t>拉伸模量（MPa）</w:t>
            </w:r>
          </w:p>
        </w:tc>
        <w:tc>
          <w:tcPr>
            <w:tcW w:w="703" w:type="pct"/>
            <w:vAlign w:val="center"/>
          </w:tcPr>
          <w:p w14:paraId="0782A4A4">
            <w:pPr>
              <w:pStyle w:val="226"/>
              <w:rPr>
                <w:rFonts w:hint="eastAsia" w:ascii="仿宋" w:hAnsi="仿宋" w:eastAsia="仿宋"/>
                <w:color w:val="auto"/>
              </w:rPr>
            </w:pPr>
            <w:r>
              <w:rPr>
                <w:rFonts w:hint="eastAsia" w:ascii="仿宋" w:hAnsi="仿宋" w:eastAsia="仿宋"/>
                <w:color w:val="auto"/>
              </w:rPr>
              <w:t>23℃</w:t>
            </w:r>
          </w:p>
        </w:tc>
        <w:tc>
          <w:tcPr>
            <w:tcW w:w="2226" w:type="pct"/>
            <w:vAlign w:val="center"/>
          </w:tcPr>
          <w:p w14:paraId="39F2E5EB">
            <w:pPr>
              <w:pStyle w:val="226"/>
              <w:rPr>
                <w:rFonts w:hint="eastAsia" w:ascii="仿宋" w:hAnsi="仿宋" w:eastAsia="仿宋"/>
                <w:color w:val="auto"/>
              </w:rPr>
            </w:pPr>
            <w:r>
              <w:rPr>
                <w:rFonts w:hint="eastAsia" w:ascii="仿宋" w:hAnsi="仿宋" w:eastAsia="仿宋"/>
                <w:color w:val="auto"/>
              </w:rPr>
              <w:t>0.20-0.40</w:t>
            </w:r>
          </w:p>
        </w:tc>
      </w:tr>
      <w:tr w14:paraId="4F7EEE6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71" w:type="pct"/>
            <w:vMerge w:val="continue"/>
            <w:vAlign w:val="center"/>
          </w:tcPr>
          <w:p w14:paraId="4C8FDB03">
            <w:pPr>
              <w:pStyle w:val="226"/>
              <w:rPr>
                <w:rFonts w:hint="eastAsia" w:ascii="仿宋" w:hAnsi="仿宋" w:eastAsia="仿宋"/>
                <w:color w:val="auto"/>
              </w:rPr>
            </w:pPr>
          </w:p>
        </w:tc>
        <w:tc>
          <w:tcPr>
            <w:tcW w:w="703" w:type="pct"/>
            <w:vAlign w:val="center"/>
          </w:tcPr>
          <w:p w14:paraId="45D1E046">
            <w:pPr>
              <w:pStyle w:val="226"/>
              <w:rPr>
                <w:rFonts w:hint="eastAsia" w:ascii="仿宋" w:hAnsi="仿宋" w:eastAsia="仿宋"/>
                <w:color w:val="auto"/>
              </w:rPr>
            </w:pPr>
            <w:r>
              <w:rPr>
                <w:rFonts w:hint="eastAsia" w:ascii="仿宋" w:hAnsi="仿宋" w:eastAsia="仿宋"/>
                <w:color w:val="auto"/>
              </w:rPr>
              <w:t>-20℃</w:t>
            </w:r>
          </w:p>
        </w:tc>
        <w:tc>
          <w:tcPr>
            <w:tcW w:w="2226" w:type="pct"/>
            <w:vAlign w:val="center"/>
          </w:tcPr>
          <w:p w14:paraId="1F95C3A2">
            <w:pPr>
              <w:pStyle w:val="226"/>
              <w:rPr>
                <w:rFonts w:hint="eastAsia" w:ascii="仿宋" w:hAnsi="仿宋" w:eastAsia="仿宋"/>
                <w:color w:val="auto"/>
              </w:rPr>
            </w:pPr>
            <w:r>
              <w:rPr>
                <w:rFonts w:hint="eastAsia" w:ascii="仿宋" w:hAnsi="仿宋" w:eastAsia="仿宋"/>
                <w:color w:val="auto"/>
              </w:rPr>
              <w:t>0.30-0.60</w:t>
            </w:r>
          </w:p>
        </w:tc>
      </w:tr>
      <w:tr w14:paraId="6F1680E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74" w:type="pct"/>
            <w:gridSpan w:val="2"/>
            <w:vAlign w:val="center"/>
          </w:tcPr>
          <w:p w14:paraId="538CA302">
            <w:pPr>
              <w:pStyle w:val="226"/>
              <w:rPr>
                <w:rFonts w:hint="eastAsia" w:ascii="仿宋" w:hAnsi="仿宋" w:eastAsia="仿宋"/>
                <w:color w:val="auto"/>
              </w:rPr>
            </w:pPr>
            <w:r>
              <w:rPr>
                <w:rFonts w:hint="eastAsia" w:ascii="仿宋" w:hAnsi="仿宋" w:eastAsia="仿宋"/>
                <w:color w:val="auto"/>
              </w:rPr>
              <w:t>弹性恢复率（%）≥</w:t>
            </w:r>
          </w:p>
        </w:tc>
        <w:tc>
          <w:tcPr>
            <w:tcW w:w="2226" w:type="pct"/>
            <w:vAlign w:val="center"/>
          </w:tcPr>
          <w:p w14:paraId="55566967">
            <w:pPr>
              <w:pStyle w:val="226"/>
              <w:rPr>
                <w:rFonts w:hint="eastAsia" w:ascii="仿宋" w:hAnsi="仿宋" w:eastAsia="仿宋"/>
                <w:color w:val="auto"/>
              </w:rPr>
            </w:pPr>
            <w:r>
              <w:rPr>
                <w:rFonts w:hint="eastAsia" w:ascii="仿宋" w:hAnsi="仿宋" w:eastAsia="仿宋"/>
                <w:color w:val="auto"/>
              </w:rPr>
              <w:t>75</w:t>
            </w:r>
          </w:p>
        </w:tc>
      </w:tr>
      <w:tr w14:paraId="3563D54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74" w:type="pct"/>
            <w:gridSpan w:val="2"/>
            <w:vAlign w:val="center"/>
          </w:tcPr>
          <w:p w14:paraId="4D5C6B72">
            <w:pPr>
              <w:pStyle w:val="226"/>
              <w:rPr>
                <w:rFonts w:hint="eastAsia" w:ascii="仿宋" w:hAnsi="仿宋" w:eastAsia="仿宋"/>
                <w:color w:val="auto"/>
              </w:rPr>
            </w:pPr>
            <w:r>
              <w:rPr>
                <w:rFonts w:hint="eastAsia" w:ascii="仿宋" w:hAnsi="仿宋" w:eastAsia="仿宋"/>
                <w:color w:val="auto"/>
              </w:rPr>
              <w:t>定伸黏结性（23℃干态）</w:t>
            </w:r>
          </w:p>
        </w:tc>
        <w:tc>
          <w:tcPr>
            <w:tcW w:w="2226" w:type="pct"/>
            <w:vAlign w:val="center"/>
          </w:tcPr>
          <w:p w14:paraId="6D92D78B">
            <w:pPr>
              <w:pStyle w:val="226"/>
              <w:rPr>
                <w:rFonts w:hint="eastAsia" w:ascii="仿宋" w:hAnsi="仿宋" w:eastAsia="仿宋"/>
                <w:color w:val="auto"/>
              </w:rPr>
            </w:pPr>
            <w:r>
              <w:rPr>
                <w:rFonts w:hint="eastAsia" w:ascii="仿宋" w:hAnsi="仿宋" w:eastAsia="仿宋"/>
                <w:color w:val="auto"/>
              </w:rPr>
              <w:t>定伸100%无破坏</w:t>
            </w:r>
          </w:p>
        </w:tc>
      </w:tr>
      <w:tr w14:paraId="393FFE4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74" w:type="pct"/>
            <w:gridSpan w:val="2"/>
            <w:vAlign w:val="center"/>
          </w:tcPr>
          <w:p w14:paraId="51F8C580">
            <w:pPr>
              <w:pStyle w:val="226"/>
              <w:rPr>
                <w:rFonts w:hint="eastAsia" w:ascii="仿宋" w:hAnsi="仿宋" w:eastAsia="仿宋"/>
                <w:color w:val="auto"/>
              </w:rPr>
            </w:pPr>
            <w:r>
              <w:rPr>
                <w:rFonts w:hint="eastAsia" w:ascii="仿宋" w:hAnsi="仿宋" w:eastAsia="仿宋"/>
                <w:color w:val="auto"/>
              </w:rPr>
              <w:t>-10℃拉伸量 （mm）≥</w:t>
            </w:r>
          </w:p>
        </w:tc>
        <w:tc>
          <w:tcPr>
            <w:tcW w:w="2226" w:type="pct"/>
            <w:vAlign w:val="center"/>
          </w:tcPr>
          <w:p w14:paraId="4FBDA3C1">
            <w:pPr>
              <w:pStyle w:val="226"/>
              <w:rPr>
                <w:rFonts w:hint="eastAsia" w:ascii="仿宋" w:hAnsi="仿宋" w:eastAsia="仿宋"/>
                <w:color w:val="auto"/>
              </w:rPr>
            </w:pPr>
            <w:r>
              <w:rPr>
                <w:rFonts w:hint="eastAsia" w:ascii="仿宋" w:hAnsi="仿宋" w:eastAsia="仿宋"/>
                <w:color w:val="auto"/>
              </w:rPr>
              <w:t>25</w:t>
            </w:r>
          </w:p>
        </w:tc>
      </w:tr>
      <w:tr w14:paraId="1A85700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74" w:type="pct"/>
            <w:gridSpan w:val="2"/>
            <w:vAlign w:val="center"/>
          </w:tcPr>
          <w:p w14:paraId="670BABFC">
            <w:pPr>
              <w:pStyle w:val="226"/>
              <w:rPr>
                <w:rFonts w:hint="eastAsia" w:ascii="仿宋" w:hAnsi="仿宋" w:eastAsia="仿宋"/>
                <w:color w:val="auto"/>
              </w:rPr>
            </w:pPr>
            <w:r>
              <w:rPr>
                <w:rFonts w:hint="eastAsia" w:ascii="仿宋" w:hAnsi="仿宋" w:eastAsia="仿宋"/>
                <w:color w:val="auto"/>
              </w:rPr>
              <w:t>固化后针入度（0.01mm）</w:t>
            </w:r>
          </w:p>
        </w:tc>
        <w:tc>
          <w:tcPr>
            <w:tcW w:w="2226" w:type="pct"/>
            <w:vAlign w:val="center"/>
          </w:tcPr>
          <w:p w14:paraId="45D1BE7C">
            <w:pPr>
              <w:pStyle w:val="226"/>
              <w:rPr>
                <w:rFonts w:hint="eastAsia" w:ascii="仿宋" w:hAnsi="仿宋" w:eastAsia="仿宋"/>
                <w:color w:val="auto"/>
              </w:rPr>
            </w:pPr>
            <w:r>
              <w:rPr>
                <w:rFonts w:hint="eastAsia" w:ascii="仿宋" w:hAnsi="仿宋" w:eastAsia="仿宋"/>
                <w:color w:val="auto"/>
              </w:rPr>
              <w:t>40～60</w:t>
            </w:r>
          </w:p>
        </w:tc>
      </w:tr>
      <w:tr w14:paraId="42D27ED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74" w:type="pct"/>
            <w:gridSpan w:val="2"/>
            <w:vAlign w:val="center"/>
          </w:tcPr>
          <w:p w14:paraId="0C27228C">
            <w:pPr>
              <w:pStyle w:val="226"/>
              <w:rPr>
                <w:rFonts w:hint="eastAsia" w:ascii="仿宋" w:hAnsi="仿宋" w:eastAsia="仿宋"/>
                <w:color w:val="auto"/>
              </w:rPr>
            </w:pPr>
            <w:r>
              <w:rPr>
                <w:rFonts w:hint="eastAsia" w:ascii="仿宋" w:hAnsi="仿宋" w:eastAsia="仿宋"/>
                <w:color w:val="auto"/>
              </w:rPr>
              <w:t>耐水性，水泡4d黏结性</w:t>
            </w:r>
          </w:p>
        </w:tc>
        <w:tc>
          <w:tcPr>
            <w:tcW w:w="2226" w:type="pct"/>
            <w:vAlign w:val="center"/>
          </w:tcPr>
          <w:p w14:paraId="54650736">
            <w:pPr>
              <w:pStyle w:val="226"/>
              <w:rPr>
                <w:rFonts w:hint="eastAsia" w:ascii="仿宋" w:hAnsi="仿宋" w:eastAsia="仿宋"/>
                <w:color w:val="auto"/>
              </w:rPr>
            </w:pPr>
            <w:r>
              <w:rPr>
                <w:rFonts w:hint="eastAsia" w:ascii="仿宋" w:hAnsi="仿宋" w:eastAsia="仿宋"/>
                <w:color w:val="auto"/>
              </w:rPr>
              <w:t>定伸100%无破坏</w:t>
            </w:r>
          </w:p>
        </w:tc>
      </w:tr>
      <w:tr w14:paraId="0F7E186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74" w:type="pct"/>
            <w:gridSpan w:val="2"/>
            <w:vAlign w:val="center"/>
          </w:tcPr>
          <w:p w14:paraId="2059620A">
            <w:pPr>
              <w:pStyle w:val="226"/>
              <w:rPr>
                <w:rFonts w:hint="eastAsia" w:ascii="仿宋" w:hAnsi="仿宋" w:eastAsia="仿宋"/>
                <w:color w:val="auto"/>
              </w:rPr>
            </w:pPr>
            <w:r>
              <w:rPr>
                <w:rFonts w:hint="eastAsia" w:ascii="仿宋" w:hAnsi="仿宋" w:eastAsia="仿宋"/>
                <w:color w:val="auto"/>
              </w:rPr>
              <w:t>耐高温性</w:t>
            </w:r>
          </w:p>
        </w:tc>
        <w:tc>
          <w:tcPr>
            <w:tcW w:w="2226" w:type="pct"/>
            <w:vAlign w:val="center"/>
          </w:tcPr>
          <w:p w14:paraId="2012E23E">
            <w:pPr>
              <w:pStyle w:val="226"/>
              <w:rPr>
                <w:rFonts w:hint="eastAsia" w:ascii="仿宋" w:hAnsi="仿宋" w:eastAsia="仿宋"/>
                <w:color w:val="auto"/>
              </w:rPr>
            </w:pPr>
            <w:r>
              <w:rPr>
                <w:rFonts w:hint="eastAsia" w:ascii="仿宋" w:hAnsi="仿宋" w:eastAsia="仿宋"/>
                <w:color w:val="auto"/>
              </w:rPr>
              <w:t>（60℃±2℃）×168h倾斜45°表面不流淌、开裂、发黏</w:t>
            </w:r>
          </w:p>
        </w:tc>
      </w:tr>
      <w:tr w14:paraId="7EE144C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74" w:type="pct"/>
            <w:gridSpan w:val="2"/>
            <w:vAlign w:val="center"/>
          </w:tcPr>
          <w:p w14:paraId="7379E906">
            <w:pPr>
              <w:pStyle w:val="226"/>
              <w:rPr>
                <w:rFonts w:hint="eastAsia" w:ascii="仿宋" w:hAnsi="仿宋" w:eastAsia="仿宋"/>
                <w:color w:val="auto"/>
              </w:rPr>
            </w:pPr>
            <w:r>
              <w:rPr>
                <w:rFonts w:hint="eastAsia" w:ascii="仿宋" w:hAnsi="仿宋" w:eastAsia="仿宋"/>
                <w:color w:val="auto"/>
              </w:rPr>
              <w:t>负温抗裂性</w:t>
            </w:r>
          </w:p>
        </w:tc>
        <w:tc>
          <w:tcPr>
            <w:tcW w:w="2226" w:type="pct"/>
            <w:vAlign w:val="center"/>
          </w:tcPr>
          <w:p w14:paraId="26ED7654">
            <w:pPr>
              <w:pStyle w:val="226"/>
              <w:rPr>
                <w:rFonts w:hint="eastAsia" w:ascii="仿宋" w:hAnsi="仿宋" w:eastAsia="仿宋"/>
                <w:color w:val="auto"/>
              </w:rPr>
            </w:pPr>
            <w:r>
              <w:rPr>
                <w:rFonts w:hint="eastAsia" w:ascii="仿宋" w:hAnsi="仿宋" w:eastAsia="仿宋"/>
                <w:color w:val="auto"/>
              </w:rPr>
              <w:t>（-40℃±2℃）×168h弯曲90°不开裂</w:t>
            </w:r>
          </w:p>
        </w:tc>
      </w:tr>
      <w:tr w14:paraId="08A9812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74" w:type="pct"/>
            <w:gridSpan w:val="2"/>
            <w:vAlign w:val="center"/>
          </w:tcPr>
          <w:p w14:paraId="2317DB49">
            <w:pPr>
              <w:pStyle w:val="226"/>
              <w:rPr>
                <w:rFonts w:hint="eastAsia" w:ascii="仿宋" w:hAnsi="仿宋" w:eastAsia="仿宋"/>
                <w:color w:val="auto"/>
              </w:rPr>
            </w:pPr>
            <w:r>
              <w:rPr>
                <w:rFonts w:hint="eastAsia" w:ascii="仿宋" w:hAnsi="仿宋" w:eastAsia="仿宋"/>
                <w:color w:val="auto"/>
              </w:rPr>
              <w:t>耐油性</w:t>
            </w:r>
          </w:p>
        </w:tc>
        <w:tc>
          <w:tcPr>
            <w:tcW w:w="2226" w:type="pct"/>
            <w:vAlign w:val="center"/>
          </w:tcPr>
          <w:p w14:paraId="65444F77">
            <w:pPr>
              <w:pStyle w:val="226"/>
              <w:rPr>
                <w:rFonts w:hint="eastAsia" w:ascii="仿宋" w:hAnsi="仿宋" w:eastAsia="仿宋"/>
                <w:color w:val="auto"/>
              </w:rPr>
            </w:pPr>
            <w:r>
              <w:rPr>
                <w:rFonts w:hint="eastAsia" w:ascii="仿宋" w:hAnsi="仿宋" w:eastAsia="仿宋"/>
                <w:color w:val="auto"/>
              </w:rPr>
              <w:t>93号汽油浸泡48h后，在温度23℃±3℃、湿度50%±5%下静止72h，延伸率下降≤20%</w:t>
            </w:r>
          </w:p>
        </w:tc>
      </w:tr>
    </w:tbl>
    <w:p w14:paraId="69CD088A">
      <w:pPr>
        <w:pStyle w:val="208"/>
        <w:ind w:firstLine="482" w:firstLineChars="200"/>
        <w:rPr>
          <w:rFonts w:hint="eastAsia"/>
        </w:rPr>
      </w:pPr>
      <w:r>
        <w:rPr>
          <w:rFonts w:hint="eastAsia"/>
        </w:rPr>
        <w:t>水泥混凝土路面板块划分及接缝设置原则</w:t>
      </w:r>
    </w:p>
    <w:p w14:paraId="79CD7FA1">
      <w:pPr>
        <w:pStyle w:val="77"/>
        <w:rPr>
          <w:rFonts w:hint="eastAsia" w:ascii="仿宋" w:hAnsi="仿宋" w:eastAsia="仿宋"/>
        </w:rPr>
      </w:pPr>
      <w:r>
        <w:rPr>
          <w:rFonts w:hint="eastAsia" w:ascii="仿宋" w:hAnsi="仿宋" w:eastAsia="仿宋"/>
        </w:rPr>
        <w:t>普通水泥混凝土面层板长不宜大于5m，面层板的长宽比不宜超过1.35，平面面积不宜大于25㎡。本次板块划分3</w:t>
      </w:r>
      <w:r>
        <w:rPr>
          <w:rFonts w:ascii="仿宋" w:hAnsi="仿宋" w:eastAsia="仿宋"/>
        </w:rPr>
        <w:t>.0</w:t>
      </w:r>
      <w:r>
        <w:rPr>
          <w:rFonts w:hint="eastAsia" w:ascii="仿宋" w:hAnsi="仿宋" w:eastAsia="仿宋"/>
        </w:rPr>
        <w:t>×</w:t>
      </w:r>
      <w:r>
        <w:rPr>
          <w:rFonts w:ascii="仿宋" w:hAnsi="仿宋" w:eastAsia="仿宋"/>
        </w:rPr>
        <w:t>2.25</w:t>
      </w:r>
      <w:r>
        <w:rPr>
          <w:rFonts w:hint="eastAsia" w:ascii="仿宋" w:hAnsi="仿宋" w:eastAsia="仿宋"/>
        </w:rPr>
        <w:t>米（长×宽）。</w:t>
      </w:r>
    </w:p>
    <w:p w14:paraId="5BA63A19">
      <w:pPr>
        <w:pStyle w:val="77"/>
        <w:rPr>
          <w:rFonts w:hint="eastAsia" w:ascii="仿宋" w:hAnsi="仿宋" w:eastAsia="仿宋"/>
        </w:rPr>
      </w:pPr>
      <w:r>
        <w:rPr>
          <w:rFonts w:hint="eastAsia" w:ascii="仿宋" w:hAnsi="仿宋" w:eastAsia="仿宋"/>
        </w:rPr>
        <w:t>水泥混凝土路面应按规定设置横缝及纵缝。纵向接缝的布设应视路面总宽度、行车道及宽度而定；单车道不设置纵缝，两车道（路面宽6m）在中心线设置一条纵缝。纵向施工缝应采用设拉杆平缝形式；纵缝应与路线中线平行。</w:t>
      </w:r>
    </w:p>
    <w:p w14:paraId="130FBF9B">
      <w:pPr>
        <w:pStyle w:val="77"/>
        <w:rPr>
          <w:rFonts w:hint="eastAsia" w:ascii="仿宋" w:hAnsi="仿宋" w:eastAsia="仿宋"/>
        </w:rPr>
      </w:pPr>
      <w:r>
        <w:rPr>
          <w:rFonts w:hint="eastAsia" w:ascii="仿宋" w:hAnsi="仿宋" w:eastAsia="仿宋"/>
        </w:rPr>
        <w:t>每日施工结束或因临时原因中断施工时，必须设置横向施工缝，其位置宜选在缩缝或胀缝处。横向缩缝等间距布置，应采用假缝形式。每条缩缝插传力杆普通混凝土路面连续长度超过500m 时应设置横向施工缝，具体详见《水泥混凝土路面接缝设计图》。其余接缝要求见《水泥混凝土路面施工技术细则》。</w:t>
      </w:r>
    </w:p>
    <w:p w14:paraId="5E364DB6">
      <w:pPr>
        <w:pStyle w:val="77"/>
        <w:rPr>
          <w:rFonts w:hint="eastAsia" w:ascii="仿宋" w:hAnsi="仿宋" w:eastAsia="仿宋"/>
        </w:rPr>
      </w:pPr>
      <w:r>
        <w:rPr>
          <w:rFonts w:hint="eastAsia" w:ascii="仿宋" w:hAnsi="仿宋" w:eastAsia="仿宋"/>
        </w:rPr>
        <w:t>桥头设有搭板时，在搭板与混凝土面层板之间设置6m的钢筋混凝土面层过渡板。桥头未设有搭板时，在桥台与混凝土面层板之间设置10m的钢筋混凝土面层过渡板。</w:t>
      </w:r>
    </w:p>
    <w:p w14:paraId="645025FE">
      <w:pPr>
        <w:pStyle w:val="207"/>
        <w:ind w:firstLine="482" w:firstLineChars="200"/>
        <w:rPr>
          <w:rFonts w:hint="eastAsia"/>
        </w:rPr>
      </w:pPr>
      <w:r>
        <w:rPr>
          <w:rFonts w:hint="eastAsia"/>
        </w:rPr>
        <w:t>山皮石防冻层材料要求</w:t>
      </w:r>
    </w:p>
    <w:p w14:paraId="71CE6A2C">
      <w:pPr>
        <w:pStyle w:val="77"/>
        <w:rPr>
          <w:rFonts w:ascii="仿宋" w:hAnsi="仿宋" w:eastAsia="仿宋"/>
        </w:rPr>
      </w:pPr>
      <w:r>
        <w:rPr>
          <w:rFonts w:hint="eastAsia" w:ascii="仿宋" w:hAnsi="仿宋" w:eastAsia="仿宋"/>
        </w:rPr>
        <w:t>采用的山皮石材料，在购买地控制其最大粒径不超过9cm，其中石料（粒径2～12cm）的质量大于总质量的50％，含泥量控制在8～15％，不均匀系数Cu≥5，曲率系数Cc＝1～3，从其源头保证材料的质量。</w:t>
      </w:r>
    </w:p>
    <w:p w14:paraId="2E20EA02">
      <w:pPr>
        <w:pStyle w:val="207"/>
        <w:ind w:firstLine="482" w:firstLineChars="200"/>
      </w:pPr>
      <w:r>
        <w:rPr>
          <w:rFonts w:hint="eastAsia"/>
        </w:rPr>
        <w:t>土工玻璃纤维格栅技术要求</w:t>
      </w:r>
    </w:p>
    <w:p w14:paraId="71B0D9C2">
      <w:pPr>
        <w:pStyle w:val="77"/>
        <w:rPr>
          <w:rFonts w:ascii="仿宋" w:hAnsi="仿宋" w:eastAsia="仿宋"/>
        </w:rPr>
      </w:pPr>
      <w:r>
        <w:rPr>
          <w:rFonts w:hint="eastAsia" w:ascii="仿宋" w:hAnsi="仿宋" w:eastAsia="仿宋"/>
        </w:rPr>
        <w:t>土工玻璃纤维格栅施工技术要求应严格按照《公路土工合成材料应用技术规范》(JTG/T D32-2012)中的有关规定操作执行。</w:t>
      </w:r>
    </w:p>
    <w:p w14:paraId="784D4C37">
      <w:pPr>
        <w:pStyle w:val="77"/>
        <w:rPr>
          <w:rFonts w:hint="eastAsia" w:ascii="仿宋" w:hAnsi="仿宋" w:eastAsia="仿宋"/>
        </w:rPr>
      </w:pPr>
      <w:r>
        <w:rPr>
          <w:rFonts w:hint="eastAsia" w:ascii="仿宋" w:hAnsi="仿宋" w:eastAsia="仿宋"/>
        </w:rPr>
        <w:t>其强度指标为：每延米纵、横向极限抗拉强度≥50KN/m，纵、横向标称抗拉强度下的伸长率≤13％，纵、横向2%伸长率时的拉伸力≥17KN/m，纵、横向5%伸长率时的拉伸力≥34KN/m。</w:t>
      </w:r>
    </w:p>
    <w:p w14:paraId="16CBFF37">
      <w:pPr>
        <w:pStyle w:val="207"/>
        <w:ind w:firstLine="482" w:firstLineChars="200"/>
        <w:rPr>
          <w:rFonts w:hint="eastAsia"/>
        </w:rPr>
      </w:pPr>
      <w:r>
        <w:rPr>
          <w:rFonts w:hint="eastAsia"/>
        </w:rPr>
        <w:t>施工方法及注意事项</w:t>
      </w:r>
    </w:p>
    <w:p w14:paraId="2B0AA3BE">
      <w:pPr>
        <w:pStyle w:val="208"/>
        <w:ind w:firstLine="482" w:firstLineChars="200"/>
        <w:rPr>
          <w:rFonts w:hint="eastAsia"/>
        </w:rPr>
      </w:pPr>
      <w:r>
        <w:rPr>
          <w:rFonts w:hint="eastAsia"/>
        </w:rPr>
        <w:t>沥青混凝土</w:t>
      </w:r>
    </w:p>
    <w:p w14:paraId="523883CB">
      <w:pPr>
        <w:pStyle w:val="77"/>
        <w:rPr>
          <w:rFonts w:hint="eastAsia" w:ascii="仿宋" w:hAnsi="仿宋" w:eastAsia="仿宋"/>
        </w:rPr>
      </w:pPr>
      <w:r>
        <w:rPr>
          <w:rFonts w:hint="eastAsia" w:ascii="仿宋" w:hAnsi="仿宋" w:eastAsia="仿宋"/>
        </w:rPr>
        <w:t>1）施工前应全面理解设计意图，对设计提供的水准点高程和导线点坐标，施工放样前必须全部进行复测，确认无误后方可使用。如发现设计数据与实际不符，应及时与设计单位联系，并报有关部门批准后施工；</w:t>
      </w:r>
    </w:p>
    <w:p w14:paraId="5D24DF6E">
      <w:pPr>
        <w:pStyle w:val="77"/>
        <w:rPr>
          <w:rFonts w:hint="eastAsia" w:ascii="仿宋" w:hAnsi="仿宋" w:eastAsia="仿宋"/>
        </w:rPr>
      </w:pPr>
      <w:r>
        <w:rPr>
          <w:rFonts w:hint="eastAsia" w:ascii="仿宋" w:hAnsi="仿宋" w:eastAsia="仿宋"/>
        </w:rPr>
        <w:t>2）压实度要求：沥青混合料压实度不小于98%；</w:t>
      </w:r>
    </w:p>
    <w:p w14:paraId="6A9C733F">
      <w:pPr>
        <w:pStyle w:val="77"/>
        <w:rPr>
          <w:rFonts w:hint="eastAsia" w:ascii="仿宋" w:hAnsi="仿宋" w:eastAsia="仿宋"/>
        </w:rPr>
      </w:pPr>
      <w:r>
        <w:rPr>
          <w:rFonts w:hint="eastAsia" w:ascii="仿宋" w:hAnsi="仿宋" w:eastAsia="仿宋"/>
        </w:rPr>
        <w:t>3）沥青混合料应按《公路沥青路面施工技术规范》(JTG F40-2017)的要求施工；</w:t>
      </w:r>
    </w:p>
    <w:p w14:paraId="0EFE347F">
      <w:pPr>
        <w:pStyle w:val="77"/>
        <w:rPr>
          <w:rFonts w:hint="eastAsia" w:ascii="仿宋" w:hAnsi="仿宋" w:eastAsia="仿宋"/>
        </w:rPr>
      </w:pPr>
      <w:r>
        <w:rPr>
          <w:rFonts w:hint="eastAsia" w:ascii="仿宋" w:hAnsi="仿宋" w:eastAsia="仿宋"/>
        </w:rPr>
        <w:t>4）沥青混合料运输时应用防水苫布覆盖整个运料车。沥青混合料的摊铺温度应满足规范要求；</w:t>
      </w:r>
    </w:p>
    <w:p w14:paraId="4930A23C">
      <w:pPr>
        <w:pStyle w:val="77"/>
        <w:rPr>
          <w:rFonts w:hint="eastAsia" w:ascii="仿宋" w:hAnsi="仿宋" w:eastAsia="仿宋"/>
        </w:rPr>
      </w:pPr>
      <w:r>
        <w:rPr>
          <w:rFonts w:hint="eastAsia" w:ascii="仿宋" w:hAnsi="仿宋" w:eastAsia="仿宋"/>
        </w:rPr>
        <w:t>5）为保证路面各结构层的连续性，尽快通车，要求各结构层连续施工；</w:t>
      </w:r>
    </w:p>
    <w:p w14:paraId="69CCB72E">
      <w:pPr>
        <w:pStyle w:val="77"/>
        <w:rPr>
          <w:rFonts w:hint="eastAsia" w:ascii="仿宋" w:hAnsi="仿宋" w:eastAsia="仿宋"/>
        </w:rPr>
      </w:pPr>
      <w:r>
        <w:rPr>
          <w:rFonts w:hint="eastAsia" w:ascii="仿宋" w:hAnsi="仿宋" w:eastAsia="仿宋"/>
        </w:rPr>
        <w:t>6）施工过程中注意接茬处的衔接，保证路面平顺；</w:t>
      </w:r>
    </w:p>
    <w:p w14:paraId="6D9C4250">
      <w:pPr>
        <w:pStyle w:val="77"/>
        <w:rPr>
          <w:rFonts w:hint="eastAsia" w:ascii="仿宋" w:hAnsi="仿宋" w:eastAsia="仿宋"/>
        </w:rPr>
      </w:pPr>
      <w:r>
        <w:rPr>
          <w:rFonts w:hint="eastAsia" w:ascii="仿宋" w:hAnsi="仿宋" w:eastAsia="仿宋"/>
        </w:rPr>
        <w:t>7）沥青路面面层、基层的质量管理和控制，参照《公路路面基层施工技术细则》（JTG/TF20 -2015）、《公路沥青路面施工技术规范》(JTG F40-2017)、《公路工程质量检验评定标准》(JTG F80/1-2017)、《公路养护质量检查评定标准》(JTJ 075-94)的技术规定执行；</w:t>
      </w:r>
    </w:p>
    <w:p w14:paraId="1EA8F8C4">
      <w:pPr>
        <w:pStyle w:val="77"/>
        <w:rPr>
          <w:rFonts w:hint="eastAsia" w:ascii="仿宋" w:hAnsi="仿宋" w:eastAsia="仿宋"/>
        </w:rPr>
      </w:pPr>
      <w:r>
        <w:rPr>
          <w:rFonts w:hint="eastAsia" w:ascii="仿宋" w:hAnsi="仿宋" w:eastAsia="仿宋"/>
        </w:rPr>
        <w:t>沥青面层施工要点：</w:t>
      </w:r>
    </w:p>
    <w:p w14:paraId="535C3ADD">
      <w:pPr>
        <w:pStyle w:val="77"/>
        <w:rPr>
          <w:rFonts w:hint="eastAsia" w:ascii="仿宋" w:hAnsi="仿宋" w:eastAsia="仿宋"/>
        </w:rPr>
      </w:pPr>
      <w:r>
        <w:rPr>
          <w:rFonts w:hint="eastAsia" w:ascii="仿宋" w:hAnsi="仿宋" w:eastAsia="仿宋"/>
        </w:rPr>
        <w:t>①、施工准备</w:t>
      </w:r>
    </w:p>
    <w:p w14:paraId="144B0AF4">
      <w:pPr>
        <w:pStyle w:val="77"/>
        <w:rPr>
          <w:rFonts w:hint="eastAsia" w:ascii="仿宋" w:hAnsi="仿宋" w:eastAsia="仿宋"/>
        </w:rPr>
      </w:pPr>
      <w:r>
        <w:rPr>
          <w:rFonts w:hint="eastAsia" w:ascii="仿宋" w:hAnsi="仿宋" w:eastAsia="仿宋"/>
        </w:rPr>
        <w:t>a: 当基层满足设计强度要求时，并且其平整度及拱度验收合格后，方可施工沥青混凝土面层。</w:t>
      </w:r>
    </w:p>
    <w:p w14:paraId="1DEFDDE0">
      <w:pPr>
        <w:pStyle w:val="77"/>
        <w:rPr>
          <w:rFonts w:hint="eastAsia" w:ascii="仿宋" w:hAnsi="仿宋" w:eastAsia="仿宋"/>
        </w:rPr>
      </w:pPr>
      <w:r>
        <w:rPr>
          <w:rFonts w:hint="eastAsia" w:ascii="仿宋" w:hAnsi="仿宋" w:eastAsia="仿宋"/>
        </w:rPr>
        <w:t>b: 施工前应对各种材料进行试验，经选择确定的材料在施工过程中应保持稳定，不得随意变更。</w:t>
      </w:r>
    </w:p>
    <w:p w14:paraId="161FACCD">
      <w:pPr>
        <w:pStyle w:val="77"/>
        <w:rPr>
          <w:rFonts w:hint="eastAsia" w:ascii="仿宋" w:hAnsi="仿宋" w:eastAsia="仿宋"/>
        </w:rPr>
      </w:pPr>
      <w:r>
        <w:rPr>
          <w:rFonts w:hint="eastAsia" w:ascii="仿宋" w:hAnsi="仿宋" w:eastAsia="仿宋"/>
        </w:rPr>
        <w:t>c: 热拌沥青混合料的配合比设计应按目标配合比设计阶段、生产配合比设计阶段、生产配合比验证阶段的步骤进行，经确定的标准配合比在施工中不得随意变更。</w:t>
      </w:r>
    </w:p>
    <w:p w14:paraId="5834E074">
      <w:pPr>
        <w:pStyle w:val="77"/>
        <w:rPr>
          <w:rFonts w:hint="eastAsia" w:ascii="仿宋" w:hAnsi="仿宋" w:eastAsia="仿宋"/>
        </w:rPr>
      </w:pPr>
      <w:r>
        <w:rPr>
          <w:rFonts w:hint="eastAsia" w:ascii="仿宋" w:hAnsi="仿宋" w:eastAsia="仿宋"/>
        </w:rPr>
        <w:t>②、沥青混合料的拌和</w:t>
      </w:r>
    </w:p>
    <w:p w14:paraId="7F93B3E1">
      <w:pPr>
        <w:pStyle w:val="77"/>
        <w:rPr>
          <w:rFonts w:hint="eastAsia" w:ascii="仿宋" w:hAnsi="仿宋" w:eastAsia="仿宋"/>
        </w:rPr>
      </w:pPr>
      <w:r>
        <w:rPr>
          <w:rFonts w:hint="eastAsia" w:ascii="仿宋" w:hAnsi="仿宋" w:eastAsia="仿宋"/>
        </w:rPr>
        <w:t>a: 热拌沥青混合料应采用间隙式拌和机进行拌和，拌和机必须配备有材料配比和施工温度的自动检测和记录设备。</w:t>
      </w:r>
    </w:p>
    <w:p w14:paraId="6068B499">
      <w:pPr>
        <w:pStyle w:val="77"/>
        <w:rPr>
          <w:rFonts w:hint="eastAsia" w:ascii="仿宋" w:hAnsi="仿宋" w:eastAsia="仿宋"/>
        </w:rPr>
      </w:pPr>
      <w:r>
        <w:rPr>
          <w:rFonts w:hint="eastAsia" w:ascii="仿宋" w:hAnsi="仿宋" w:eastAsia="仿宋"/>
        </w:rPr>
        <w:t>b:面层沥青混合料拌和时间应以混合料拌和均匀、所有矿料颗粒全部裹覆沥青结合料为度，并根据设备情况经试拌确定。</w:t>
      </w:r>
    </w:p>
    <w:p w14:paraId="2BE54725">
      <w:pPr>
        <w:pStyle w:val="77"/>
        <w:rPr>
          <w:rFonts w:hint="eastAsia" w:ascii="仿宋" w:hAnsi="仿宋" w:eastAsia="仿宋"/>
        </w:rPr>
      </w:pPr>
      <w:r>
        <w:rPr>
          <w:rFonts w:hint="eastAsia" w:ascii="仿宋" w:hAnsi="仿宋" w:eastAsia="仿宋"/>
        </w:rPr>
        <w:t xml:space="preserve">c: 沥青混合料出料温度应满足《公路沥青路面施工技术规范》（JTG F40—2017）中的有关规定。 </w:t>
      </w:r>
    </w:p>
    <w:p w14:paraId="15E7300F">
      <w:pPr>
        <w:pStyle w:val="77"/>
        <w:rPr>
          <w:rFonts w:hint="eastAsia" w:ascii="仿宋" w:hAnsi="仿宋" w:eastAsia="仿宋"/>
        </w:rPr>
      </w:pPr>
      <w:r>
        <w:rPr>
          <w:rFonts w:hint="eastAsia" w:ascii="仿宋" w:hAnsi="仿宋" w:eastAsia="仿宋"/>
        </w:rPr>
        <w:t>d: 拌和厂拌和的沥青混合料应均匀一致，无花白料，无结团成块或严重的粗细料分离现象，不符合要求时不得使用，并应及时调整。</w:t>
      </w:r>
    </w:p>
    <w:p w14:paraId="612B6C37">
      <w:pPr>
        <w:pStyle w:val="77"/>
        <w:rPr>
          <w:rFonts w:hint="eastAsia" w:ascii="仿宋" w:hAnsi="仿宋" w:eastAsia="仿宋"/>
        </w:rPr>
      </w:pPr>
      <w:r>
        <w:rPr>
          <w:rFonts w:hint="eastAsia" w:ascii="仿宋" w:hAnsi="仿宋" w:eastAsia="仿宋"/>
        </w:rPr>
        <w:t>③、热拌沥青混合料的运输</w:t>
      </w:r>
    </w:p>
    <w:p w14:paraId="59E35FBB">
      <w:pPr>
        <w:pStyle w:val="77"/>
        <w:rPr>
          <w:rFonts w:hint="eastAsia" w:ascii="仿宋" w:hAnsi="仿宋" w:eastAsia="仿宋"/>
        </w:rPr>
      </w:pPr>
      <w:r>
        <w:rPr>
          <w:rFonts w:hint="eastAsia" w:ascii="仿宋" w:hAnsi="仿宋" w:eastAsia="仿宋"/>
        </w:rPr>
        <w:t>a: 热拌沥青混合料应采用较大吨位的自卸汽车运输。</w:t>
      </w:r>
    </w:p>
    <w:p w14:paraId="02DC7C67">
      <w:pPr>
        <w:pStyle w:val="77"/>
        <w:rPr>
          <w:rFonts w:hint="eastAsia" w:ascii="仿宋" w:hAnsi="仿宋" w:eastAsia="仿宋"/>
        </w:rPr>
      </w:pPr>
      <w:r>
        <w:rPr>
          <w:rFonts w:hint="eastAsia" w:ascii="仿宋" w:hAnsi="仿宋" w:eastAsia="仿宋"/>
        </w:rPr>
        <w:t>b: 沥青混合料运输车的运量应较拌和能力或摊铺速度有所富余。运料车在开始运输前，应在车厢及底扳上涂刷一层隔离剂，使沥青混合料不致与车厢粘结。</w:t>
      </w:r>
    </w:p>
    <w:p w14:paraId="5F9D2B5F">
      <w:pPr>
        <w:pStyle w:val="77"/>
        <w:rPr>
          <w:rFonts w:hint="eastAsia" w:ascii="仿宋" w:hAnsi="仿宋" w:eastAsia="仿宋"/>
        </w:rPr>
      </w:pPr>
      <w:r>
        <w:rPr>
          <w:rFonts w:hint="eastAsia" w:ascii="仿宋" w:hAnsi="仿宋" w:eastAsia="仿宋"/>
        </w:rPr>
        <w:t>c: 运料车应前后至少移动三次装料，防止混合料离析。</w:t>
      </w:r>
    </w:p>
    <w:p w14:paraId="2B95BEF2">
      <w:pPr>
        <w:pStyle w:val="77"/>
        <w:rPr>
          <w:rFonts w:hint="eastAsia" w:ascii="仿宋" w:hAnsi="仿宋" w:eastAsia="仿宋"/>
        </w:rPr>
      </w:pPr>
      <w:r>
        <w:rPr>
          <w:rFonts w:hint="eastAsia" w:ascii="仿宋" w:hAnsi="仿宋" w:eastAsia="仿宋"/>
        </w:rPr>
        <w:t>d: 混合料运输过程中必须加以覆盖，以防止混合料降温超标和结壳。</w:t>
      </w:r>
    </w:p>
    <w:p w14:paraId="2ACB15D1">
      <w:pPr>
        <w:pStyle w:val="77"/>
        <w:rPr>
          <w:rFonts w:hint="eastAsia" w:ascii="仿宋" w:hAnsi="仿宋" w:eastAsia="仿宋"/>
        </w:rPr>
      </w:pPr>
      <w:r>
        <w:rPr>
          <w:rFonts w:hint="eastAsia" w:ascii="仿宋" w:hAnsi="仿宋" w:eastAsia="仿宋"/>
        </w:rPr>
        <w:t>e: 运料车在运输途中，不得随意停歇。</w:t>
      </w:r>
    </w:p>
    <w:p w14:paraId="4C10CCD7">
      <w:pPr>
        <w:pStyle w:val="77"/>
        <w:rPr>
          <w:rFonts w:hint="eastAsia" w:ascii="仿宋" w:hAnsi="仿宋" w:eastAsia="仿宋"/>
        </w:rPr>
      </w:pPr>
      <w:r>
        <w:rPr>
          <w:rFonts w:hint="eastAsia" w:ascii="仿宋" w:hAnsi="仿宋" w:eastAsia="仿宋"/>
        </w:rPr>
        <w:t>f: 运料车卸料必须倒净，否则必须及时清除。</w:t>
      </w:r>
    </w:p>
    <w:p w14:paraId="3B8F2CBF">
      <w:pPr>
        <w:pStyle w:val="77"/>
        <w:rPr>
          <w:rFonts w:hint="eastAsia" w:ascii="仿宋" w:hAnsi="仿宋" w:eastAsia="仿宋"/>
        </w:rPr>
      </w:pPr>
      <w:r>
        <w:rPr>
          <w:rFonts w:hint="eastAsia" w:ascii="仿宋" w:hAnsi="仿宋" w:eastAsia="仿宋"/>
        </w:rPr>
        <w:t>g: 运料车到达现场后，应检查沥青混合料温度，必须满足摊铺温度要求。</w:t>
      </w:r>
    </w:p>
    <w:p w14:paraId="7EB470A7">
      <w:pPr>
        <w:pStyle w:val="77"/>
        <w:rPr>
          <w:rFonts w:hint="eastAsia" w:ascii="仿宋" w:hAnsi="仿宋" w:eastAsia="仿宋"/>
        </w:rPr>
      </w:pPr>
      <w:r>
        <w:rPr>
          <w:rFonts w:hint="eastAsia" w:ascii="仿宋" w:hAnsi="仿宋" w:eastAsia="仿宋"/>
        </w:rPr>
        <w:t>④、热拌沥青混合料的摊铺</w:t>
      </w:r>
    </w:p>
    <w:p w14:paraId="6B52ABA1">
      <w:pPr>
        <w:pStyle w:val="77"/>
        <w:rPr>
          <w:rFonts w:hint="eastAsia" w:ascii="仿宋" w:hAnsi="仿宋" w:eastAsia="仿宋"/>
        </w:rPr>
      </w:pPr>
      <w:r>
        <w:rPr>
          <w:rFonts w:hint="eastAsia" w:ascii="仿宋" w:hAnsi="仿宋" w:eastAsia="仿宋"/>
        </w:rPr>
        <w:t>a: 铺筑沥青混合料前，应检查确认下层的质量，当下层质量不符合要求时，不得铺筑沥青面层。</w:t>
      </w:r>
    </w:p>
    <w:p w14:paraId="5D8F2E28">
      <w:pPr>
        <w:pStyle w:val="77"/>
        <w:rPr>
          <w:rFonts w:hint="eastAsia" w:ascii="仿宋" w:hAnsi="仿宋" w:eastAsia="仿宋"/>
        </w:rPr>
      </w:pPr>
      <w:r>
        <w:rPr>
          <w:rFonts w:hint="eastAsia" w:ascii="仿宋" w:hAnsi="仿宋" w:eastAsia="仿宋"/>
        </w:rPr>
        <w:t>b: 热拌沥青混合料应采用机械摊铺。摊铺机应符合下列要求：具有自动或半自动方式调节摊铺厚度及找平的装置；具有足够容量的受料斗，在运料车换车时能连续摊铺，并有足够的功率推动运料车前进；摊铺机宽度可调整。</w:t>
      </w:r>
    </w:p>
    <w:p w14:paraId="58EA994F">
      <w:pPr>
        <w:pStyle w:val="77"/>
        <w:rPr>
          <w:rFonts w:hint="eastAsia" w:ascii="仿宋" w:hAnsi="仿宋" w:eastAsia="仿宋"/>
        </w:rPr>
      </w:pPr>
      <w:r>
        <w:rPr>
          <w:rFonts w:hint="eastAsia" w:ascii="仿宋" w:hAnsi="仿宋" w:eastAsia="仿宋"/>
        </w:rPr>
        <w:t>c: 施工气温低于10℃时，不得摊铺沥青混合料。</w:t>
      </w:r>
    </w:p>
    <w:p w14:paraId="3B08514D">
      <w:pPr>
        <w:pStyle w:val="77"/>
        <w:rPr>
          <w:rFonts w:hint="eastAsia" w:ascii="仿宋" w:hAnsi="仿宋" w:eastAsia="仿宋"/>
        </w:rPr>
      </w:pPr>
      <w:r>
        <w:rPr>
          <w:rFonts w:hint="eastAsia" w:ascii="仿宋" w:hAnsi="仿宋" w:eastAsia="仿宋"/>
        </w:rPr>
        <w:t>d: 沥青混合料必须缓慢、均匀连续不间断地摊铺。摊铺过程中不得随意变换速度或中途停顿，摊铺速度应根据拌和机产量、施工机械配套情况以及摊铺层厚度、宽度确定，一般控制在2～4m/min为宜。</w:t>
      </w:r>
    </w:p>
    <w:p w14:paraId="4923DC80">
      <w:pPr>
        <w:pStyle w:val="77"/>
        <w:rPr>
          <w:rFonts w:hint="eastAsia" w:ascii="仿宋" w:hAnsi="仿宋" w:eastAsia="仿宋"/>
        </w:rPr>
      </w:pPr>
      <w:r>
        <w:rPr>
          <w:rFonts w:hint="eastAsia" w:ascii="仿宋" w:hAnsi="仿宋" w:eastAsia="仿宋"/>
        </w:rPr>
        <w:t xml:space="preserve">e: 沥青混合料摊铺温度应满足《公路沥青路面施工技术规范》（JTG F40—2017）中的有关规定。 </w:t>
      </w:r>
    </w:p>
    <w:p w14:paraId="7FCEF90E">
      <w:pPr>
        <w:pStyle w:val="77"/>
        <w:rPr>
          <w:rFonts w:hint="eastAsia" w:ascii="仿宋" w:hAnsi="仿宋" w:eastAsia="仿宋"/>
        </w:rPr>
      </w:pPr>
      <w:r>
        <w:rPr>
          <w:rFonts w:hint="eastAsia" w:ascii="仿宋" w:hAnsi="仿宋" w:eastAsia="仿宋"/>
        </w:rPr>
        <w:t>f: 沥青混凝土摊铺时，宜采用两台以上摊铺机成梯队作业进行联合摊铺，相邻两幅应有5cm～10cm宽度的摊铺重叠，相邻摊铺机距离5～10m。</w:t>
      </w:r>
    </w:p>
    <w:p w14:paraId="42359721">
      <w:pPr>
        <w:pStyle w:val="77"/>
        <w:rPr>
          <w:rFonts w:hint="eastAsia" w:ascii="仿宋" w:hAnsi="仿宋" w:eastAsia="仿宋"/>
        </w:rPr>
      </w:pPr>
      <w:r>
        <w:rPr>
          <w:rFonts w:hint="eastAsia" w:ascii="仿宋" w:hAnsi="仿宋" w:eastAsia="仿宋"/>
        </w:rPr>
        <w:t>g: 沥青下面层宜采用两侧钢丝绳引导的高程控制方式进行找平，面层应采用浮动基准梁的方式控制厚度和平整度。</w:t>
      </w:r>
    </w:p>
    <w:p w14:paraId="1CF3AF5F">
      <w:pPr>
        <w:pStyle w:val="77"/>
        <w:rPr>
          <w:rFonts w:hint="eastAsia" w:ascii="仿宋" w:hAnsi="仿宋" w:eastAsia="仿宋"/>
        </w:rPr>
      </w:pPr>
      <w:r>
        <w:rPr>
          <w:rFonts w:hint="eastAsia" w:ascii="仿宋" w:hAnsi="仿宋" w:eastAsia="仿宋"/>
        </w:rPr>
        <w:t>⑤、热拌沥青混合料的压实及成型</w:t>
      </w:r>
    </w:p>
    <w:p w14:paraId="4B9B95F2">
      <w:pPr>
        <w:pStyle w:val="77"/>
        <w:rPr>
          <w:rFonts w:hint="eastAsia" w:ascii="仿宋" w:hAnsi="仿宋" w:eastAsia="仿宋"/>
        </w:rPr>
      </w:pPr>
      <w:r>
        <w:rPr>
          <w:rFonts w:hint="eastAsia" w:ascii="仿宋" w:hAnsi="仿宋" w:eastAsia="仿宋"/>
        </w:rPr>
        <w:t>a: 压实后的各层沥青混合料应符合压实度及平整度的要求。</w:t>
      </w:r>
    </w:p>
    <w:p w14:paraId="2AD434DD">
      <w:pPr>
        <w:pStyle w:val="77"/>
        <w:rPr>
          <w:rFonts w:hint="eastAsia" w:ascii="仿宋" w:hAnsi="仿宋" w:eastAsia="仿宋"/>
        </w:rPr>
      </w:pPr>
      <w:r>
        <w:rPr>
          <w:rFonts w:hint="eastAsia" w:ascii="仿宋" w:hAnsi="仿宋" w:eastAsia="仿宋"/>
        </w:rPr>
        <w:t>b: 施工单位应配备12吨以上的重型振动压路机，应选择合理的压路机组合方式及碾压步骤。为达到最佳结果，沥青混合料压实宜采用组合的方式，压路机数量根据生产率决定。</w:t>
      </w:r>
    </w:p>
    <w:p w14:paraId="29FCD4DC">
      <w:pPr>
        <w:pStyle w:val="77"/>
        <w:rPr>
          <w:rFonts w:hint="eastAsia" w:ascii="仿宋" w:hAnsi="仿宋" w:eastAsia="仿宋"/>
        </w:rPr>
      </w:pPr>
      <w:r>
        <w:rPr>
          <w:rFonts w:hint="eastAsia" w:ascii="仿宋" w:hAnsi="仿宋" w:eastAsia="仿宋"/>
        </w:rPr>
        <w:t xml:space="preserve">c: 采用振动压路机压实时，沥青混合料初压温度及终压温度应满足《公路沥青路面施工技术规范》（JTG F40—2004）中的有关规定。 </w:t>
      </w:r>
    </w:p>
    <w:p w14:paraId="637EB5D7">
      <w:pPr>
        <w:pStyle w:val="77"/>
        <w:rPr>
          <w:rFonts w:hint="eastAsia" w:ascii="仿宋" w:hAnsi="仿宋" w:eastAsia="仿宋"/>
        </w:rPr>
      </w:pPr>
      <w:r>
        <w:rPr>
          <w:rFonts w:hint="eastAsia" w:ascii="仿宋" w:hAnsi="仿宋" w:eastAsia="仿宋"/>
        </w:rPr>
        <w:t>d: 为了防止混合料粘附在轮子上，应适当的洒水使轮子保持潮湿，但应尽量少喷水，且应呈雾状。</w:t>
      </w:r>
    </w:p>
    <w:p w14:paraId="0F12E29C">
      <w:pPr>
        <w:pStyle w:val="77"/>
        <w:rPr>
          <w:rFonts w:hint="eastAsia" w:ascii="仿宋" w:hAnsi="仿宋" w:eastAsia="仿宋"/>
        </w:rPr>
      </w:pPr>
      <w:r>
        <w:rPr>
          <w:rFonts w:hint="eastAsia" w:ascii="仿宋" w:hAnsi="仿宋" w:eastAsia="仿宋"/>
        </w:rPr>
        <w:t>e: 混合料未压实前，严禁压路机停留或转急弯调头等。</w:t>
      </w:r>
    </w:p>
    <w:p w14:paraId="628C248E">
      <w:pPr>
        <w:pStyle w:val="77"/>
        <w:rPr>
          <w:rFonts w:hint="eastAsia" w:ascii="仿宋" w:hAnsi="仿宋" w:eastAsia="仿宋"/>
        </w:rPr>
      </w:pPr>
      <w:r>
        <w:rPr>
          <w:rFonts w:hint="eastAsia" w:ascii="仿宋" w:hAnsi="仿宋" w:eastAsia="仿宋"/>
        </w:rPr>
        <w:t>⑥、在施工缝及构造物两端的连接处必须仔细操作，保证紧密、平顺。</w:t>
      </w:r>
    </w:p>
    <w:p w14:paraId="35634A08">
      <w:pPr>
        <w:pStyle w:val="77"/>
        <w:rPr>
          <w:rFonts w:hint="eastAsia" w:ascii="仿宋" w:hAnsi="仿宋" w:eastAsia="仿宋"/>
        </w:rPr>
      </w:pPr>
      <w:r>
        <w:rPr>
          <w:rFonts w:hint="eastAsia" w:ascii="仿宋" w:hAnsi="仿宋" w:eastAsia="仿宋"/>
        </w:rPr>
        <w:t>⑦、热拌沥青混合料路面应待摊铺层自然冷却，混合料表面温度低于50℃后，方可开放交通。</w:t>
      </w:r>
    </w:p>
    <w:p w14:paraId="3D1BE4B5">
      <w:pPr>
        <w:pStyle w:val="77"/>
        <w:rPr>
          <w:rFonts w:hint="eastAsia" w:ascii="仿宋" w:hAnsi="仿宋" w:eastAsia="仿宋"/>
        </w:rPr>
      </w:pPr>
      <w:r>
        <w:rPr>
          <w:rFonts w:hint="eastAsia" w:ascii="仿宋" w:hAnsi="仿宋" w:eastAsia="仿宋"/>
        </w:rPr>
        <w:t>⑧、沥青路面的施工要求表面层与下面层应连续施工，施工上面层时，下面层应洁净。</w:t>
      </w:r>
    </w:p>
    <w:p w14:paraId="7221B863">
      <w:pPr>
        <w:pStyle w:val="77"/>
        <w:rPr>
          <w:rFonts w:hint="eastAsia" w:ascii="仿宋" w:hAnsi="仿宋" w:eastAsia="仿宋"/>
        </w:rPr>
      </w:pPr>
      <w:r>
        <w:rPr>
          <w:rFonts w:hint="eastAsia" w:ascii="仿宋" w:hAnsi="仿宋" w:eastAsia="仿宋"/>
        </w:rPr>
        <w:t>⑨、在沥青混合料铺筑完成前严禁在路面上进行任何作业。</w:t>
      </w:r>
    </w:p>
    <w:p w14:paraId="12AB967E">
      <w:pPr>
        <w:pStyle w:val="208"/>
        <w:ind w:firstLine="482" w:firstLineChars="200"/>
        <w:rPr>
          <w:rFonts w:hint="eastAsia"/>
        </w:rPr>
      </w:pPr>
      <w:r>
        <w:rPr>
          <w:rFonts w:hint="eastAsia"/>
        </w:rPr>
        <w:t>水泥混凝土</w:t>
      </w:r>
    </w:p>
    <w:p w14:paraId="5BB9223C">
      <w:pPr>
        <w:pStyle w:val="77"/>
        <w:rPr>
          <w:rFonts w:hint="eastAsia" w:ascii="仿宋" w:hAnsi="仿宋" w:eastAsia="仿宋"/>
        </w:rPr>
      </w:pPr>
      <w:r>
        <w:rPr>
          <w:rFonts w:hint="eastAsia" w:ascii="仿宋" w:hAnsi="仿宋" w:eastAsia="仿宋"/>
        </w:rPr>
        <w:t>三辊轴机组</w:t>
      </w:r>
    </w:p>
    <w:p w14:paraId="6863360E">
      <w:pPr>
        <w:pStyle w:val="77"/>
        <w:rPr>
          <w:rFonts w:hint="eastAsia" w:ascii="仿宋" w:hAnsi="仿宋" w:eastAsia="仿宋"/>
        </w:rPr>
      </w:pPr>
      <w:r>
        <w:rPr>
          <w:rFonts w:hint="eastAsia" w:ascii="仿宋" w:hAnsi="仿宋" w:eastAsia="仿宋"/>
        </w:rPr>
        <w:t>（1）三辊轴整平机应按作业单元分段整平，作业单元长度宜为10～30m，施工开始或施工温度较高时，可缩短作业单元长度，最短不宜短于10m。振捣机振实与三辊轴整平两道工序之间的间隔时间不宜超过15min。</w:t>
      </w:r>
    </w:p>
    <w:p w14:paraId="411DA442">
      <w:pPr>
        <w:pStyle w:val="77"/>
        <w:rPr>
          <w:rFonts w:hint="eastAsia" w:ascii="仿宋" w:hAnsi="仿宋" w:eastAsia="仿宋"/>
        </w:rPr>
      </w:pPr>
      <w:r>
        <w:rPr>
          <w:rFonts w:hint="eastAsia" w:ascii="仿宋" w:hAnsi="仿宋" w:eastAsia="仿宋"/>
        </w:rPr>
        <w:t>（2）在作业单元长度内，三辊轴整平机应采用前进振动、后退静滚方式作业。</w:t>
      </w:r>
    </w:p>
    <w:p w14:paraId="29334468">
      <w:pPr>
        <w:pStyle w:val="77"/>
        <w:rPr>
          <w:rFonts w:hint="eastAsia" w:ascii="仿宋" w:hAnsi="仿宋" w:eastAsia="仿宋"/>
        </w:rPr>
      </w:pPr>
      <w:r>
        <w:rPr>
          <w:rFonts w:hint="eastAsia" w:ascii="仿宋" w:hAnsi="仿宋" w:eastAsia="仿宋"/>
        </w:rPr>
        <w:t>（3）三辊轴整平机整平水泥混凝土面层不同料位高差的滚压遍数，可根据公路水泥混凝土路面施工技术细则》表8.3.13按拌合物坍落度初步设置，并根据试铺效果最终确定。</w:t>
      </w:r>
    </w:p>
    <w:p w14:paraId="2ED407C0">
      <w:pPr>
        <w:pStyle w:val="77"/>
        <w:rPr>
          <w:rFonts w:hint="eastAsia" w:ascii="仿宋" w:hAnsi="仿宋" w:eastAsia="仿宋"/>
        </w:rPr>
      </w:pPr>
      <w:r>
        <w:rPr>
          <w:rFonts w:hint="eastAsia" w:ascii="仿宋" w:hAnsi="仿宋" w:eastAsia="仿宋"/>
        </w:rPr>
        <w:t>（4）三辊轴整平作业时，应处理整平轴前料位的高低情况，过高时应铲除，轴下的间隙应采用混凝土找平。</w:t>
      </w:r>
    </w:p>
    <w:p w14:paraId="173A0C8C">
      <w:pPr>
        <w:pStyle w:val="77"/>
        <w:rPr>
          <w:rFonts w:hint="eastAsia" w:ascii="仿宋" w:hAnsi="仿宋" w:eastAsia="仿宋"/>
        </w:rPr>
      </w:pPr>
      <w:r>
        <w:rPr>
          <w:rFonts w:hint="eastAsia" w:ascii="仿宋" w:hAnsi="仿宋" w:eastAsia="仿宋"/>
        </w:rPr>
        <w:t>（5）振动滚压完成后，应升起振动辊，用甩浆辊抛浆整平一遍，再用整平轴前、后静滚整平，直到平整度符合要求、表面砂浆厚度均匀为止。</w:t>
      </w:r>
    </w:p>
    <w:p w14:paraId="29000864">
      <w:pPr>
        <w:pStyle w:val="77"/>
        <w:rPr>
          <w:rFonts w:hint="eastAsia" w:ascii="仿宋" w:hAnsi="仿宋" w:eastAsia="仿宋"/>
        </w:rPr>
      </w:pPr>
      <w:r>
        <w:rPr>
          <w:rFonts w:hint="eastAsia" w:ascii="仿宋" w:hAnsi="仿宋" w:eastAsia="仿宋"/>
        </w:rPr>
        <w:t>（6）路面表层砂浆的厚度宜控制为4mm±1mm。过厚的稀砂浆应及时刮除丢弃，不得用于路面补平。</w:t>
      </w:r>
    </w:p>
    <w:p w14:paraId="014E9A48">
      <w:pPr>
        <w:pStyle w:val="77"/>
        <w:rPr>
          <w:rFonts w:hint="eastAsia" w:ascii="仿宋" w:hAnsi="仿宋" w:eastAsia="仿宋"/>
        </w:rPr>
      </w:pPr>
      <w:r>
        <w:rPr>
          <w:rFonts w:hint="eastAsia" w:ascii="仿宋" w:hAnsi="仿宋" w:eastAsia="仿宋"/>
        </w:rPr>
        <w:t>（7）三辊轴整平机整平后，应采用3～5m刮尺，纵、横两个方向精平饰面，纵向不少于3遍，横向不少于2遍。也可采用旋转抹面机密实精平饰面2遍，直到平整度符合要求。</w:t>
      </w:r>
    </w:p>
    <w:p w14:paraId="3F81673E">
      <w:pPr>
        <w:pStyle w:val="77"/>
        <w:rPr>
          <w:rFonts w:hint="eastAsia" w:ascii="仿宋" w:hAnsi="仿宋" w:eastAsia="仿宋"/>
        </w:rPr>
      </w:pPr>
      <w:r>
        <w:rPr>
          <w:rFonts w:hint="eastAsia" w:ascii="仿宋" w:hAnsi="仿宋" w:eastAsia="仿宋"/>
        </w:rPr>
        <w:t>（8）饰面完成后，应立即开始保湿养生。</w:t>
      </w:r>
    </w:p>
    <w:p w14:paraId="62627A02">
      <w:pPr>
        <w:pStyle w:val="208"/>
        <w:ind w:firstLine="482" w:firstLineChars="200"/>
        <w:rPr>
          <w:rFonts w:hint="eastAsia"/>
        </w:rPr>
      </w:pPr>
      <w:r>
        <w:rPr>
          <w:rFonts w:hint="eastAsia"/>
        </w:rPr>
        <w:t>黏层施工要求</w:t>
      </w:r>
    </w:p>
    <w:p w14:paraId="76EF84C7">
      <w:pPr>
        <w:pStyle w:val="77"/>
        <w:rPr>
          <w:rFonts w:hint="eastAsia" w:ascii="仿宋" w:hAnsi="仿宋" w:eastAsia="仿宋"/>
        </w:rPr>
      </w:pPr>
      <w:r>
        <w:rPr>
          <w:rFonts w:hint="eastAsia" w:ascii="仿宋" w:hAnsi="仿宋" w:eastAsia="仿宋"/>
        </w:rPr>
        <w:t xml:space="preserve">1）浇洒黏层油前，路面有脏物尘土时应清除干净，当有沾粘的土块时，应用水刷净，待表面干燥后浇洒，粘层油采用热沥青。 </w:t>
      </w:r>
    </w:p>
    <w:p w14:paraId="5DC5AF44">
      <w:pPr>
        <w:pStyle w:val="77"/>
        <w:rPr>
          <w:rFonts w:hint="eastAsia" w:ascii="仿宋" w:hAnsi="仿宋" w:eastAsia="仿宋"/>
        </w:rPr>
      </w:pPr>
      <w:r>
        <w:rPr>
          <w:rFonts w:hint="eastAsia" w:ascii="仿宋" w:hAnsi="仿宋" w:eastAsia="仿宋"/>
        </w:rPr>
        <w:t>2）粘层沥青应均匀洒布或涂刷，浇洒过量处应予刮除。</w:t>
      </w:r>
    </w:p>
    <w:p w14:paraId="03E1AFFA">
      <w:pPr>
        <w:pStyle w:val="77"/>
        <w:rPr>
          <w:rFonts w:hint="eastAsia" w:ascii="仿宋" w:hAnsi="仿宋" w:eastAsia="仿宋"/>
        </w:rPr>
      </w:pPr>
      <w:r>
        <w:rPr>
          <w:rFonts w:hint="eastAsia" w:ascii="仿宋" w:hAnsi="仿宋" w:eastAsia="仿宋"/>
        </w:rPr>
        <w:t>3）气温低于10℃时或路面潮湿时，不得浇洒粘层沥青。</w:t>
      </w:r>
    </w:p>
    <w:p w14:paraId="0428CF5C">
      <w:pPr>
        <w:pStyle w:val="77"/>
        <w:rPr>
          <w:rFonts w:hint="eastAsia" w:ascii="仿宋" w:hAnsi="仿宋" w:eastAsia="仿宋"/>
        </w:rPr>
      </w:pPr>
      <w:r>
        <w:rPr>
          <w:rFonts w:hint="eastAsia" w:ascii="仿宋" w:hAnsi="仿宋" w:eastAsia="仿宋"/>
        </w:rPr>
        <w:t>4）浇洒粘层沥青后，严禁除沥青混合料运输车外的其它车辆、行人通过。</w:t>
      </w:r>
    </w:p>
    <w:p w14:paraId="2CA79F1D">
      <w:pPr>
        <w:pStyle w:val="77"/>
        <w:rPr>
          <w:rFonts w:hint="eastAsia" w:ascii="仿宋" w:hAnsi="仿宋" w:eastAsia="仿宋"/>
        </w:rPr>
      </w:pPr>
      <w:r>
        <w:rPr>
          <w:rFonts w:hint="eastAsia" w:ascii="仿宋" w:hAnsi="仿宋" w:eastAsia="仿宋"/>
        </w:rPr>
        <w:t>5）粘层油应在当天洒布，紧跟着铺筑沥青层，确保粘层不受污染。</w:t>
      </w:r>
    </w:p>
    <w:p w14:paraId="358FF932">
      <w:pPr>
        <w:pStyle w:val="206"/>
        <w:rPr>
          <w:rFonts w:hint="eastAsia"/>
        </w:rPr>
      </w:pPr>
      <w:r>
        <w:rPr>
          <w:rFonts w:hint="eastAsia"/>
        </w:rPr>
        <w:t>桥涵设计</w:t>
      </w:r>
    </w:p>
    <w:p w14:paraId="6F57CEF3">
      <w:pPr>
        <w:pStyle w:val="207"/>
        <w:ind w:firstLine="482" w:firstLineChars="200"/>
        <w:rPr>
          <w:rFonts w:hint="eastAsia"/>
        </w:rPr>
      </w:pPr>
      <w:r>
        <w:rPr>
          <w:rFonts w:hint="eastAsia"/>
        </w:rPr>
        <w:t>技术标准与设计规范</w:t>
      </w:r>
    </w:p>
    <w:p w14:paraId="16AB2DAD">
      <w:pPr>
        <w:pStyle w:val="77"/>
        <w:rPr>
          <w:rFonts w:hint="eastAsia" w:ascii="仿宋" w:hAnsi="仿宋" w:eastAsia="仿宋"/>
        </w:rPr>
      </w:pPr>
      <w:r>
        <w:rPr>
          <w:rFonts w:hint="eastAsia" w:ascii="仿宋" w:hAnsi="仿宋" w:eastAsia="仿宋"/>
        </w:rPr>
        <w:t>《公路桥涵设计通用规范》(JTG D60-2015)</w:t>
      </w:r>
    </w:p>
    <w:p w14:paraId="400400D1">
      <w:pPr>
        <w:pStyle w:val="77"/>
        <w:rPr>
          <w:rFonts w:hint="eastAsia" w:ascii="仿宋" w:hAnsi="仿宋" w:eastAsia="仿宋"/>
        </w:rPr>
      </w:pPr>
      <w:r>
        <w:rPr>
          <w:rFonts w:hint="eastAsia" w:ascii="仿宋" w:hAnsi="仿宋" w:eastAsia="仿宋"/>
        </w:rPr>
        <w:t>《公路涵洞设计规范》（JTG/T 3365-02-2020）</w:t>
      </w:r>
    </w:p>
    <w:p w14:paraId="74A029E4">
      <w:pPr>
        <w:pStyle w:val="77"/>
        <w:rPr>
          <w:rFonts w:hint="eastAsia" w:ascii="仿宋" w:hAnsi="仿宋" w:eastAsia="仿宋"/>
        </w:rPr>
      </w:pPr>
      <w:r>
        <w:rPr>
          <w:rFonts w:hint="eastAsia" w:ascii="仿宋" w:hAnsi="仿宋" w:eastAsia="仿宋"/>
        </w:rPr>
        <w:t>《公路桥涵地基与基础设计规范》(JTG 3363-2019)</w:t>
      </w:r>
    </w:p>
    <w:p w14:paraId="3F73F31C">
      <w:pPr>
        <w:pStyle w:val="77"/>
        <w:rPr>
          <w:rFonts w:hint="eastAsia" w:ascii="仿宋" w:hAnsi="仿宋" w:eastAsia="仿宋"/>
        </w:rPr>
      </w:pPr>
      <w:r>
        <w:rPr>
          <w:rFonts w:hint="eastAsia" w:ascii="仿宋" w:hAnsi="仿宋" w:eastAsia="仿宋"/>
        </w:rPr>
        <w:t>《公路钢筋混凝土及预应力混凝土桥涵设计规范》（JTG 3362-2018）</w:t>
      </w:r>
    </w:p>
    <w:p w14:paraId="5E424692">
      <w:pPr>
        <w:pStyle w:val="77"/>
        <w:rPr>
          <w:rFonts w:hint="eastAsia" w:ascii="仿宋" w:hAnsi="仿宋" w:eastAsia="仿宋"/>
        </w:rPr>
      </w:pPr>
      <w:r>
        <w:rPr>
          <w:rFonts w:hint="eastAsia" w:ascii="仿宋" w:hAnsi="仿宋" w:eastAsia="仿宋"/>
        </w:rPr>
        <w:t>《公路桥涵施工技术规范》(JTG/T 3650-2020)</w:t>
      </w:r>
    </w:p>
    <w:p w14:paraId="2F9A413B">
      <w:pPr>
        <w:pStyle w:val="207"/>
        <w:ind w:firstLine="482" w:firstLineChars="200"/>
        <w:rPr>
          <w:rFonts w:hint="eastAsia"/>
        </w:rPr>
      </w:pPr>
      <w:r>
        <w:rPr>
          <w:rFonts w:hint="eastAsia"/>
        </w:rPr>
        <w:t>项目说明</w:t>
      </w:r>
    </w:p>
    <w:p w14:paraId="4BC54761">
      <w:pPr>
        <w:pStyle w:val="77"/>
        <w:rPr>
          <w:rFonts w:hint="eastAsia" w:ascii="仿宋" w:hAnsi="仿宋" w:eastAsia="仿宋"/>
        </w:rPr>
      </w:pPr>
      <w:r>
        <w:rPr>
          <w:rFonts w:hint="eastAsia" w:ascii="仿宋" w:hAnsi="仿宋" w:eastAsia="仿宋"/>
        </w:rPr>
        <w:t>本项目涵洞共3道，其中圆管涵2道，盖板涵1道。具体情况详见下表：</w:t>
      </w:r>
    </w:p>
    <w:p w14:paraId="6A5030FF">
      <w:pPr>
        <w:pStyle w:val="212"/>
        <w:rPr>
          <w:rFonts w:hint="eastAsia"/>
        </w:rPr>
      </w:pPr>
      <w:r>
        <w:rPr>
          <w:rFonts w:hint="eastAsia"/>
        </w:rPr>
        <w:t>桥涵情况一览表</w:t>
      </w:r>
    </w:p>
    <w:tbl>
      <w:tblPr>
        <w:tblStyle w:val="27"/>
        <w:tblW w:w="5000" w:type="pct"/>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561"/>
        <w:gridCol w:w="906"/>
        <w:gridCol w:w="561"/>
        <w:gridCol w:w="906"/>
        <w:gridCol w:w="906"/>
        <w:gridCol w:w="1166"/>
        <w:gridCol w:w="1122"/>
        <w:gridCol w:w="1769"/>
        <w:gridCol w:w="2029"/>
      </w:tblGrid>
      <w:tr w14:paraId="44C24218">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54" w:hRule="atLeast"/>
          <w:tblHeader/>
        </w:trPr>
        <w:tc>
          <w:tcPr>
            <w:tcW w:w="284" w:type="pct"/>
            <w:shd w:val="clear" w:color="auto" w:fill="D9E2F3" w:themeFill="accent1" w:themeFillTint="33"/>
            <w:noWrap/>
            <w:vAlign w:val="center"/>
          </w:tcPr>
          <w:p w14:paraId="2174A1E5">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kern w:val="0"/>
                <w:sz w:val="21"/>
                <w:szCs w:val="21"/>
                <w:lang w:bidi="ar"/>
              </w:rPr>
              <w:t>序号</w:t>
            </w:r>
          </w:p>
        </w:tc>
        <w:tc>
          <w:tcPr>
            <w:tcW w:w="457" w:type="pct"/>
            <w:shd w:val="clear" w:color="auto" w:fill="D9E2F3" w:themeFill="accent1" w:themeFillTint="33"/>
            <w:noWrap/>
            <w:vAlign w:val="center"/>
          </w:tcPr>
          <w:p w14:paraId="1273A051">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kern w:val="0"/>
                <w:sz w:val="21"/>
                <w:szCs w:val="21"/>
                <w:lang w:bidi="ar"/>
              </w:rPr>
              <w:t>路线名称</w:t>
            </w:r>
          </w:p>
        </w:tc>
        <w:tc>
          <w:tcPr>
            <w:tcW w:w="284" w:type="pct"/>
            <w:shd w:val="clear" w:color="auto" w:fill="D9E2F3" w:themeFill="accent1" w:themeFillTint="33"/>
            <w:noWrap/>
            <w:vAlign w:val="center"/>
          </w:tcPr>
          <w:p w14:paraId="78D9F9E5">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kern w:val="0"/>
                <w:sz w:val="21"/>
                <w:szCs w:val="21"/>
                <w:lang w:bidi="ar"/>
              </w:rPr>
              <w:t>角度</w:t>
            </w:r>
          </w:p>
        </w:tc>
        <w:tc>
          <w:tcPr>
            <w:tcW w:w="457" w:type="pct"/>
            <w:shd w:val="clear" w:color="auto" w:fill="D9E2F3" w:themeFill="accent1" w:themeFillTint="33"/>
            <w:noWrap/>
            <w:vAlign w:val="center"/>
          </w:tcPr>
          <w:p w14:paraId="5D54C86A">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kern w:val="0"/>
                <w:sz w:val="21"/>
                <w:szCs w:val="21"/>
                <w:lang w:bidi="ar"/>
              </w:rPr>
              <w:t>中心桩号</w:t>
            </w:r>
          </w:p>
        </w:tc>
        <w:tc>
          <w:tcPr>
            <w:tcW w:w="457" w:type="pct"/>
            <w:shd w:val="clear" w:color="auto" w:fill="D9E2F3" w:themeFill="accent1" w:themeFillTint="33"/>
            <w:noWrap/>
            <w:vAlign w:val="center"/>
          </w:tcPr>
          <w:p w14:paraId="18997F06">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kern w:val="0"/>
                <w:sz w:val="21"/>
                <w:szCs w:val="21"/>
                <w:lang w:bidi="ar"/>
              </w:rPr>
              <w:t>结构类型</w:t>
            </w:r>
          </w:p>
        </w:tc>
        <w:tc>
          <w:tcPr>
            <w:tcW w:w="587" w:type="pct"/>
            <w:shd w:val="clear" w:color="auto" w:fill="D9E2F3" w:themeFill="accent1" w:themeFillTint="33"/>
            <w:noWrap/>
            <w:vAlign w:val="center"/>
          </w:tcPr>
          <w:p w14:paraId="53AACDF7">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kern w:val="0"/>
                <w:sz w:val="21"/>
                <w:szCs w:val="21"/>
                <w:lang w:bidi="ar"/>
              </w:rPr>
              <w:t>现状孔径(m)</w:t>
            </w:r>
          </w:p>
        </w:tc>
        <w:tc>
          <w:tcPr>
            <w:tcW w:w="565" w:type="pct"/>
            <w:shd w:val="clear" w:color="auto" w:fill="D9E2F3" w:themeFill="accent1" w:themeFillTint="33"/>
            <w:noWrap/>
            <w:vAlign w:val="center"/>
          </w:tcPr>
          <w:p w14:paraId="5AAC4CD4">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kern w:val="0"/>
                <w:sz w:val="21"/>
                <w:szCs w:val="21"/>
                <w:lang w:bidi="ar"/>
              </w:rPr>
              <w:t>修建年代</w:t>
            </w:r>
          </w:p>
        </w:tc>
        <w:tc>
          <w:tcPr>
            <w:tcW w:w="889" w:type="pct"/>
            <w:shd w:val="clear" w:color="auto" w:fill="D9E2F3" w:themeFill="accent1" w:themeFillTint="33"/>
            <w:noWrap/>
            <w:vAlign w:val="center"/>
          </w:tcPr>
          <w:p w14:paraId="1F0C4187">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kern w:val="0"/>
                <w:sz w:val="21"/>
                <w:szCs w:val="21"/>
                <w:lang w:bidi="ar"/>
              </w:rPr>
              <w:t>现状描述</w:t>
            </w:r>
          </w:p>
        </w:tc>
        <w:tc>
          <w:tcPr>
            <w:tcW w:w="1019" w:type="pct"/>
            <w:shd w:val="clear" w:color="auto" w:fill="D9E2F3" w:themeFill="accent1" w:themeFillTint="33"/>
            <w:noWrap/>
            <w:vAlign w:val="center"/>
          </w:tcPr>
          <w:p w14:paraId="343A89B9">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kern w:val="0"/>
                <w:sz w:val="21"/>
                <w:szCs w:val="21"/>
                <w:lang w:bidi="ar"/>
              </w:rPr>
              <w:t>利用、改建情况</w:t>
            </w:r>
          </w:p>
        </w:tc>
      </w:tr>
      <w:tr w14:paraId="0747FB59">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84" w:type="pct"/>
            <w:noWrap/>
            <w:vAlign w:val="center"/>
          </w:tcPr>
          <w:p w14:paraId="6B6E5BEC">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kern w:val="0"/>
                <w:sz w:val="21"/>
                <w:szCs w:val="21"/>
                <w:lang w:bidi="ar"/>
              </w:rPr>
              <w:t>1</w:t>
            </w:r>
          </w:p>
        </w:tc>
        <w:tc>
          <w:tcPr>
            <w:tcW w:w="457" w:type="pct"/>
            <w:noWrap/>
            <w:vAlign w:val="center"/>
          </w:tcPr>
          <w:p w14:paraId="03C95856">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sz w:val="21"/>
                <w:szCs w:val="21"/>
              </w:rPr>
              <w:t>路线1</w:t>
            </w:r>
          </w:p>
        </w:tc>
        <w:tc>
          <w:tcPr>
            <w:tcW w:w="284" w:type="pct"/>
            <w:noWrap/>
            <w:vAlign w:val="center"/>
          </w:tcPr>
          <w:p w14:paraId="5E4E886C">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sz w:val="21"/>
                <w:szCs w:val="21"/>
              </w:rPr>
              <w:t>90</w:t>
            </w:r>
          </w:p>
        </w:tc>
        <w:tc>
          <w:tcPr>
            <w:tcW w:w="457" w:type="pct"/>
            <w:noWrap/>
            <w:vAlign w:val="center"/>
          </w:tcPr>
          <w:p w14:paraId="05D48562">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sz w:val="21"/>
                <w:szCs w:val="21"/>
              </w:rPr>
              <w:t>K0+291</w:t>
            </w:r>
          </w:p>
        </w:tc>
        <w:tc>
          <w:tcPr>
            <w:tcW w:w="457" w:type="pct"/>
            <w:noWrap/>
            <w:vAlign w:val="center"/>
          </w:tcPr>
          <w:p w14:paraId="450DB487">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sz w:val="21"/>
                <w:szCs w:val="21"/>
              </w:rPr>
              <w:t>盖板涵</w:t>
            </w:r>
          </w:p>
        </w:tc>
        <w:tc>
          <w:tcPr>
            <w:tcW w:w="587" w:type="pct"/>
            <w:noWrap/>
            <w:vAlign w:val="center"/>
          </w:tcPr>
          <w:p w14:paraId="39D3742A">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sz w:val="21"/>
                <w:szCs w:val="21"/>
              </w:rPr>
              <w:t>1-1.0</w:t>
            </w:r>
          </w:p>
        </w:tc>
        <w:tc>
          <w:tcPr>
            <w:tcW w:w="565" w:type="pct"/>
            <w:noWrap/>
            <w:vAlign w:val="center"/>
          </w:tcPr>
          <w:p w14:paraId="001C2FED">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sz w:val="21"/>
                <w:szCs w:val="21"/>
              </w:rPr>
              <w:t>2010年左右</w:t>
            </w:r>
          </w:p>
        </w:tc>
        <w:tc>
          <w:tcPr>
            <w:tcW w:w="889" w:type="pct"/>
            <w:noWrap/>
            <w:vAlign w:val="center"/>
          </w:tcPr>
          <w:p w14:paraId="54674135">
            <w:pPr>
              <w:widowControl/>
              <w:jc w:val="center"/>
              <w:textAlignment w:val="center"/>
              <w:rPr>
                <w:rFonts w:hint="eastAsia" w:ascii="仿宋" w:hAnsi="仿宋" w:eastAsia="仿宋" w:cs="宋体"/>
                <w:color w:val="000000"/>
                <w:sz w:val="21"/>
                <w:szCs w:val="21"/>
              </w:rPr>
            </w:pPr>
            <w:r>
              <w:rPr>
                <w:rFonts w:ascii="仿宋" w:hAnsi="仿宋" w:eastAsia="仿宋" w:cs="宋体"/>
                <w:color w:val="000000"/>
                <w:sz w:val="21"/>
                <w:szCs w:val="21"/>
              </w:rPr>
              <w:t>孔径</w:t>
            </w:r>
            <w:r>
              <w:rPr>
                <w:rFonts w:hint="eastAsia" w:ascii="仿宋" w:hAnsi="仿宋" w:eastAsia="仿宋" w:cs="宋体"/>
                <w:color w:val="000000"/>
                <w:sz w:val="21"/>
                <w:szCs w:val="21"/>
              </w:rPr>
              <w:t>较小、基础掏空</w:t>
            </w:r>
          </w:p>
        </w:tc>
        <w:tc>
          <w:tcPr>
            <w:tcW w:w="1019" w:type="pct"/>
            <w:noWrap/>
            <w:vAlign w:val="center"/>
          </w:tcPr>
          <w:p w14:paraId="183D6B3E">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sz w:val="21"/>
                <w:szCs w:val="21"/>
              </w:rPr>
              <w:t>拆除新建1-1.5m盖板涵</w:t>
            </w:r>
          </w:p>
        </w:tc>
      </w:tr>
      <w:tr w14:paraId="2C52BCA3">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84" w:type="pct"/>
            <w:noWrap/>
            <w:vAlign w:val="center"/>
          </w:tcPr>
          <w:p w14:paraId="6F82464B">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kern w:val="0"/>
                <w:sz w:val="21"/>
                <w:szCs w:val="21"/>
                <w:lang w:bidi="ar"/>
              </w:rPr>
              <w:t>2</w:t>
            </w:r>
          </w:p>
        </w:tc>
        <w:tc>
          <w:tcPr>
            <w:tcW w:w="457" w:type="pct"/>
            <w:noWrap/>
            <w:vAlign w:val="center"/>
          </w:tcPr>
          <w:p w14:paraId="73CF9797">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sz w:val="21"/>
                <w:szCs w:val="21"/>
              </w:rPr>
              <w:t>路线2</w:t>
            </w:r>
          </w:p>
        </w:tc>
        <w:tc>
          <w:tcPr>
            <w:tcW w:w="284" w:type="pct"/>
            <w:noWrap/>
            <w:vAlign w:val="center"/>
          </w:tcPr>
          <w:p w14:paraId="7DF76EDE">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sz w:val="21"/>
                <w:szCs w:val="21"/>
              </w:rPr>
              <w:t>90</w:t>
            </w:r>
          </w:p>
        </w:tc>
        <w:tc>
          <w:tcPr>
            <w:tcW w:w="457" w:type="pct"/>
            <w:noWrap/>
            <w:vAlign w:val="center"/>
          </w:tcPr>
          <w:p w14:paraId="186533F6">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sz w:val="21"/>
                <w:szCs w:val="21"/>
              </w:rPr>
              <w:t>K0+010</w:t>
            </w:r>
          </w:p>
        </w:tc>
        <w:tc>
          <w:tcPr>
            <w:tcW w:w="457" w:type="pct"/>
            <w:noWrap/>
            <w:vAlign w:val="center"/>
          </w:tcPr>
          <w:p w14:paraId="7D871AD6">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sz w:val="21"/>
                <w:szCs w:val="21"/>
              </w:rPr>
              <w:t>圆管涵</w:t>
            </w:r>
          </w:p>
        </w:tc>
        <w:tc>
          <w:tcPr>
            <w:tcW w:w="587" w:type="pct"/>
            <w:noWrap/>
            <w:vAlign w:val="center"/>
          </w:tcPr>
          <w:p w14:paraId="431D85F8">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sz w:val="21"/>
                <w:szCs w:val="21"/>
              </w:rPr>
              <w:t>2-1.0</w:t>
            </w:r>
          </w:p>
        </w:tc>
        <w:tc>
          <w:tcPr>
            <w:tcW w:w="565" w:type="pct"/>
            <w:noWrap/>
            <w:vAlign w:val="center"/>
          </w:tcPr>
          <w:p w14:paraId="5EA9493E">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sz w:val="21"/>
                <w:szCs w:val="21"/>
              </w:rPr>
              <w:t>2010年左右</w:t>
            </w:r>
          </w:p>
        </w:tc>
        <w:tc>
          <w:tcPr>
            <w:tcW w:w="889" w:type="pct"/>
            <w:noWrap/>
            <w:vAlign w:val="center"/>
          </w:tcPr>
          <w:p w14:paraId="1F6BBAAC">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sz w:val="21"/>
                <w:szCs w:val="21"/>
              </w:rPr>
              <w:t>基础掏空</w:t>
            </w:r>
          </w:p>
        </w:tc>
        <w:tc>
          <w:tcPr>
            <w:tcW w:w="1019" w:type="pct"/>
            <w:noWrap/>
            <w:vAlign w:val="center"/>
          </w:tcPr>
          <w:p w14:paraId="02E52896">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sz w:val="21"/>
                <w:szCs w:val="21"/>
              </w:rPr>
              <w:t>拆除新建2-1.0m圆管涵</w:t>
            </w:r>
          </w:p>
        </w:tc>
      </w:tr>
      <w:tr w14:paraId="03DB87F6">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84" w:type="pct"/>
            <w:noWrap/>
            <w:vAlign w:val="center"/>
          </w:tcPr>
          <w:p w14:paraId="7D1B9141">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kern w:val="0"/>
                <w:sz w:val="21"/>
                <w:szCs w:val="21"/>
                <w:lang w:bidi="ar"/>
              </w:rPr>
              <w:t>3</w:t>
            </w:r>
          </w:p>
        </w:tc>
        <w:tc>
          <w:tcPr>
            <w:tcW w:w="457" w:type="pct"/>
            <w:noWrap/>
            <w:vAlign w:val="center"/>
          </w:tcPr>
          <w:p w14:paraId="25A06BDE">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sz w:val="21"/>
                <w:szCs w:val="21"/>
              </w:rPr>
              <w:t>路线3</w:t>
            </w:r>
          </w:p>
        </w:tc>
        <w:tc>
          <w:tcPr>
            <w:tcW w:w="284" w:type="pct"/>
            <w:noWrap/>
            <w:vAlign w:val="center"/>
          </w:tcPr>
          <w:p w14:paraId="1656E3DD">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sz w:val="21"/>
                <w:szCs w:val="21"/>
              </w:rPr>
              <w:t>55</w:t>
            </w:r>
          </w:p>
        </w:tc>
        <w:tc>
          <w:tcPr>
            <w:tcW w:w="457" w:type="pct"/>
            <w:noWrap/>
            <w:vAlign w:val="center"/>
          </w:tcPr>
          <w:p w14:paraId="1E706250">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sz w:val="21"/>
                <w:szCs w:val="21"/>
              </w:rPr>
              <w:t>K0+010</w:t>
            </w:r>
          </w:p>
        </w:tc>
        <w:tc>
          <w:tcPr>
            <w:tcW w:w="457" w:type="pct"/>
            <w:noWrap/>
            <w:vAlign w:val="center"/>
          </w:tcPr>
          <w:p w14:paraId="58786669">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sz w:val="21"/>
                <w:szCs w:val="21"/>
              </w:rPr>
              <w:t>圆管涵</w:t>
            </w:r>
          </w:p>
        </w:tc>
        <w:tc>
          <w:tcPr>
            <w:tcW w:w="587" w:type="pct"/>
            <w:noWrap/>
            <w:vAlign w:val="center"/>
          </w:tcPr>
          <w:p w14:paraId="1DFDB1B3">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sz w:val="21"/>
                <w:szCs w:val="21"/>
              </w:rPr>
              <w:t>1-1.0</w:t>
            </w:r>
          </w:p>
        </w:tc>
        <w:tc>
          <w:tcPr>
            <w:tcW w:w="565" w:type="pct"/>
            <w:noWrap/>
            <w:vAlign w:val="center"/>
          </w:tcPr>
          <w:p w14:paraId="2896D48E">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sz w:val="21"/>
                <w:szCs w:val="21"/>
              </w:rPr>
              <w:t>2010年左右</w:t>
            </w:r>
          </w:p>
        </w:tc>
        <w:tc>
          <w:tcPr>
            <w:tcW w:w="889" w:type="pct"/>
            <w:noWrap/>
            <w:vAlign w:val="center"/>
          </w:tcPr>
          <w:p w14:paraId="3D650BBA">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sz w:val="21"/>
                <w:szCs w:val="21"/>
              </w:rPr>
              <w:t>基础掏空</w:t>
            </w:r>
          </w:p>
        </w:tc>
        <w:tc>
          <w:tcPr>
            <w:tcW w:w="1019" w:type="pct"/>
            <w:noWrap/>
            <w:vAlign w:val="center"/>
          </w:tcPr>
          <w:p w14:paraId="687FA4A0">
            <w:pPr>
              <w:widowControl/>
              <w:jc w:val="center"/>
              <w:textAlignment w:val="center"/>
              <w:rPr>
                <w:rFonts w:hint="eastAsia" w:ascii="仿宋" w:hAnsi="仿宋" w:eastAsia="仿宋" w:cs="宋体"/>
                <w:color w:val="000000"/>
                <w:sz w:val="21"/>
                <w:szCs w:val="21"/>
              </w:rPr>
            </w:pPr>
            <w:r>
              <w:rPr>
                <w:rFonts w:hint="eastAsia" w:ascii="仿宋" w:hAnsi="仿宋" w:eastAsia="仿宋" w:cs="宋体"/>
                <w:color w:val="000000"/>
                <w:sz w:val="21"/>
                <w:szCs w:val="21"/>
              </w:rPr>
              <w:t>拆除新建1-1.0m圆管涵</w:t>
            </w:r>
          </w:p>
        </w:tc>
      </w:tr>
    </w:tbl>
    <w:p w14:paraId="17FBA92F">
      <w:pPr>
        <w:pStyle w:val="207"/>
        <w:ind w:firstLine="482" w:firstLineChars="200"/>
        <w:rPr>
          <w:rFonts w:hint="eastAsia"/>
        </w:rPr>
      </w:pPr>
      <w:r>
        <w:rPr>
          <w:rFonts w:hint="eastAsia"/>
        </w:rPr>
        <w:t>技术指标</w:t>
      </w:r>
    </w:p>
    <w:p w14:paraId="2C96281F">
      <w:pPr>
        <w:pStyle w:val="77"/>
        <w:rPr>
          <w:rFonts w:hint="eastAsia" w:ascii="仿宋" w:hAnsi="仿宋" w:eastAsia="仿宋"/>
        </w:rPr>
      </w:pPr>
      <w:r>
        <w:rPr>
          <w:rFonts w:hint="eastAsia" w:ascii="仿宋" w:hAnsi="仿宋" w:eastAsia="仿宋"/>
        </w:rPr>
        <w:t>1、设计标准</w:t>
      </w:r>
    </w:p>
    <w:p w14:paraId="178E0202">
      <w:pPr>
        <w:pStyle w:val="77"/>
        <w:rPr>
          <w:rFonts w:hint="eastAsia" w:ascii="仿宋" w:hAnsi="仿宋" w:eastAsia="仿宋"/>
        </w:rPr>
      </w:pPr>
      <w:r>
        <w:rPr>
          <w:rFonts w:hint="eastAsia" w:ascii="仿宋" w:hAnsi="仿宋" w:eastAsia="仿宋"/>
        </w:rPr>
        <w:t>设计荷载：公路-Ⅱ级；</w:t>
      </w:r>
    </w:p>
    <w:p w14:paraId="3DEFCAE9">
      <w:pPr>
        <w:pStyle w:val="77"/>
        <w:rPr>
          <w:rFonts w:hint="eastAsia" w:ascii="仿宋" w:hAnsi="仿宋" w:eastAsia="仿宋"/>
        </w:rPr>
      </w:pPr>
      <w:r>
        <w:rPr>
          <w:rFonts w:hint="eastAsia" w:ascii="仿宋" w:hAnsi="仿宋" w:eastAsia="仿宋"/>
        </w:rPr>
        <w:t>设计安全等级：三级；</w:t>
      </w:r>
    </w:p>
    <w:p w14:paraId="334831B9">
      <w:pPr>
        <w:pStyle w:val="77"/>
        <w:rPr>
          <w:rFonts w:hint="eastAsia" w:ascii="仿宋" w:hAnsi="仿宋" w:eastAsia="仿宋"/>
        </w:rPr>
      </w:pPr>
      <w:r>
        <w:rPr>
          <w:rFonts w:hint="eastAsia" w:ascii="仿宋" w:hAnsi="仿宋" w:eastAsia="仿宋"/>
        </w:rPr>
        <w:t>设计基准期：100年；</w:t>
      </w:r>
    </w:p>
    <w:p w14:paraId="73A86151">
      <w:pPr>
        <w:pStyle w:val="77"/>
        <w:rPr>
          <w:rFonts w:hint="eastAsia" w:ascii="仿宋" w:hAnsi="仿宋" w:eastAsia="仿宋"/>
        </w:rPr>
      </w:pPr>
      <w:r>
        <w:rPr>
          <w:rFonts w:hint="eastAsia" w:ascii="仿宋" w:hAnsi="仿宋" w:eastAsia="仿宋"/>
        </w:rPr>
        <w:t>环境类别：Ⅱ级；</w:t>
      </w:r>
    </w:p>
    <w:p w14:paraId="1DAA5BD6">
      <w:pPr>
        <w:pStyle w:val="77"/>
        <w:rPr>
          <w:rFonts w:hint="eastAsia" w:ascii="仿宋" w:hAnsi="仿宋" w:eastAsia="仿宋"/>
        </w:rPr>
      </w:pPr>
      <w:r>
        <w:rPr>
          <w:rFonts w:hint="eastAsia" w:ascii="仿宋" w:hAnsi="仿宋" w:eastAsia="仿宋"/>
        </w:rPr>
        <w:t>抗震设防烈度：Ⅶ度；</w:t>
      </w:r>
    </w:p>
    <w:p w14:paraId="2B91DA83">
      <w:pPr>
        <w:pStyle w:val="77"/>
        <w:rPr>
          <w:rFonts w:hint="eastAsia" w:ascii="仿宋" w:hAnsi="仿宋" w:eastAsia="仿宋"/>
        </w:rPr>
      </w:pPr>
      <w:r>
        <w:rPr>
          <w:rFonts w:hint="eastAsia" w:ascii="仿宋" w:hAnsi="仿宋" w:eastAsia="仿宋"/>
        </w:rPr>
        <w:t>设计洪水频率：1/25；</w:t>
      </w:r>
    </w:p>
    <w:p w14:paraId="1578AF28">
      <w:pPr>
        <w:pStyle w:val="207"/>
        <w:ind w:firstLine="482" w:firstLineChars="200"/>
        <w:rPr>
          <w:rFonts w:hint="eastAsia"/>
        </w:rPr>
      </w:pPr>
      <w:r>
        <w:rPr>
          <w:rFonts w:hint="eastAsia"/>
        </w:rPr>
        <w:t>主要材料</w:t>
      </w:r>
    </w:p>
    <w:p w14:paraId="51E443A8">
      <w:pPr>
        <w:pStyle w:val="77"/>
        <w:rPr>
          <w:rFonts w:hint="eastAsia" w:ascii="仿宋" w:hAnsi="仿宋" w:eastAsia="仿宋"/>
        </w:rPr>
      </w:pPr>
      <w:r>
        <w:rPr>
          <w:rFonts w:hint="eastAsia" w:ascii="仿宋" w:hAnsi="仿宋" w:eastAsia="仿宋"/>
        </w:rPr>
        <w:t>（一）混凝土</w:t>
      </w:r>
    </w:p>
    <w:p w14:paraId="3D0471BA">
      <w:pPr>
        <w:pStyle w:val="77"/>
        <w:rPr>
          <w:rFonts w:hint="eastAsia" w:ascii="仿宋" w:hAnsi="仿宋" w:eastAsia="仿宋"/>
        </w:rPr>
      </w:pPr>
      <w:r>
        <w:rPr>
          <w:rFonts w:hint="eastAsia" w:ascii="仿宋" w:hAnsi="仿宋" w:eastAsia="仿宋"/>
        </w:rPr>
        <w:t>水泥：应采用高品质的强度等级为42.5的硅酸盐水泥，同一座桥涵应采用同一品种水泥。</w:t>
      </w:r>
    </w:p>
    <w:p w14:paraId="6E8BC369">
      <w:pPr>
        <w:pStyle w:val="77"/>
        <w:rPr>
          <w:rFonts w:hint="eastAsia" w:ascii="仿宋" w:hAnsi="仿宋" w:eastAsia="仿宋"/>
        </w:rPr>
      </w:pPr>
      <w:r>
        <w:rPr>
          <w:rFonts w:hint="eastAsia" w:ascii="仿宋" w:hAnsi="仿宋" w:eastAsia="仿宋"/>
        </w:rPr>
        <w:t>粗骨料：应采用连续级配，碎石宜采用锤击式破碎生产。碎石最大粒径不宜超过20mm，以防混凝土浇筑困难或振捣不密实。</w:t>
      </w:r>
    </w:p>
    <w:p w14:paraId="02D480FE">
      <w:pPr>
        <w:pStyle w:val="77"/>
        <w:rPr>
          <w:rFonts w:hint="eastAsia" w:ascii="仿宋" w:hAnsi="仿宋" w:eastAsia="仿宋"/>
        </w:rPr>
      </w:pPr>
      <w:r>
        <w:rPr>
          <w:rFonts w:hint="eastAsia" w:ascii="仿宋" w:hAnsi="仿宋" w:eastAsia="仿宋"/>
        </w:rPr>
        <w:t>细骨料：宜采用级配良好、质地坚硬、颗粒洁净且粒径小于5mm的河砂或符合规定的天然砂。材料应不含结块、软弱或针片状颗粒，无粘土、尘土、盐碱、壤土、云母、有机物或基它有害物质。</w:t>
      </w:r>
    </w:p>
    <w:p w14:paraId="2D654ED7">
      <w:pPr>
        <w:pStyle w:val="77"/>
        <w:rPr>
          <w:rFonts w:hint="eastAsia" w:ascii="仿宋" w:hAnsi="仿宋" w:eastAsia="仿宋"/>
        </w:rPr>
      </w:pPr>
      <w:r>
        <w:rPr>
          <w:rFonts w:hint="eastAsia" w:ascii="仿宋" w:hAnsi="仿宋" w:eastAsia="仿宋"/>
        </w:rPr>
        <w:t>混凝土：</w:t>
      </w:r>
    </w:p>
    <w:p w14:paraId="228E5B49">
      <w:pPr>
        <w:pStyle w:val="77"/>
        <w:rPr>
          <w:rFonts w:hint="eastAsia" w:ascii="仿宋" w:hAnsi="仿宋" w:eastAsia="仿宋"/>
        </w:rPr>
      </w:pPr>
      <w:r>
        <w:rPr>
          <w:rFonts w:hint="eastAsia" w:ascii="仿宋" w:hAnsi="仿宋" w:eastAsia="仿宋"/>
        </w:rPr>
        <w:t>C40混凝土：盖板涵盖板。</w:t>
      </w:r>
    </w:p>
    <w:p w14:paraId="4A50CD72">
      <w:pPr>
        <w:pStyle w:val="77"/>
        <w:rPr>
          <w:rFonts w:hint="eastAsia" w:ascii="仿宋" w:hAnsi="仿宋" w:eastAsia="仿宋"/>
        </w:rPr>
      </w:pPr>
      <w:r>
        <w:rPr>
          <w:rFonts w:hint="eastAsia" w:ascii="仿宋" w:hAnsi="仿宋" w:eastAsia="仿宋"/>
        </w:rPr>
        <w:t>C30混凝土：涵台、台帽、基础、一字墙。</w:t>
      </w:r>
    </w:p>
    <w:p w14:paraId="18E664A9">
      <w:pPr>
        <w:pStyle w:val="77"/>
        <w:rPr>
          <w:rFonts w:hint="eastAsia" w:ascii="仿宋" w:hAnsi="仿宋" w:eastAsia="仿宋"/>
        </w:rPr>
      </w:pPr>
      <w:r>
        <w:rPr>
          <w:rFonts w:hint="eastAsia" w:ascii="仿宋" w:hAnsi="仿宋" w:eastAsia="仿宋"/>
        </w:rPr>
        <w:t>防渗等级不小于W6，抗冻等级不小于F250。</w:t>
      </w:r>
    </w:p>
    <w:p w14:paraId="59B05D7E">
      <w:pPr>
        <w:pStyle w:val="77"/>
        <w:rPr>
          <w:rFonts w:hint="eastAsia" w:ascii="仿宋" w:hAnsi="仿宋" w:eastAsia="仿宋"/>
        </w:rPr>
      </w:pPr>
      <w:r>
        <w:rPr>
          <w:rFonts w:hint="eastAsia" w:ascii="仿宋" w:hAnsi="仿宋" w:eastAsia="仿宋"/>
        </w:rPr>
        <w:t>（二）钢材</w:t>
      </w:r>
    </w:p>
    <w:p w14:paraId="5DFF8A28">
      <w:pPr>
        <w:pStyle w:val="77"/>
        <w:rPr>
          <w:rFonts w:hint="eastAsia" w:ascii="仿宋" w:hAnsi="仿宋" w:eastAsia="仿宋"/>
        </w:rPr>
      </w:pPr>
      <w:r>
        <w:rPr>
          <w:rFonts w:hint="eastAsia" w:ascii="仿宋" w:hAnsi="仿宋" w:eastAsia="仿宋"/>
        </w:rPr>
        <w:t>1、HPB300为热轧光圆钢筋，其主要性能应符合国家标准《钢筋混凝土用钢第1部分：热轧光圆钢筋》(GB1499.1-2017)的规定。</w:t>
      </w:r>
    </w:p>
    <w:p w14:paraId="2F640323">
      <w:pPr>
        <w:pStyle w:val="77"/>
        <w:rPr>
          <w:rFonts w:hint="eastAsia" w:ascii="仿宋" w:hAnsi="仿宋" w:eastAsia="仿宋"/>
        </w:rPr>
      </w:pPr>
      <w:r>
        <w:rPr>
          <w:rFonts w:hint="eastAsia" w:ascii="仿宋" w:hAnsi="仿宋" w:eastAsia="仿宋"/>
        </w:rPr>
        <w:t>2、HRB400为热轧带肋钢筋，其主要性能应符合国家标准《筋混凝土用钢第2部分：热轧带肋钢筋》(GB 1499.2-2018)的规定。</w:t>
      </w:r>
    </w:p>
    <w:p w14:paraId="2AD9310E">
      <w:pPr>
        <w:pStyle w:val="77"/>
        <w:rPr>
          <w:rFonts w:hint="eastAsia" w:ascii="仿宋" w:hAnsi="仿宋" w:eastAsia="仿宋"/>
        </w:rPr>
      </w:pPr>
      <w:r>
        <w:rPr>
          <w:rFonts w:hint="eastAsia" w:ascii="仿宋" w:hAnsi="仿宋" w:eastAsia="仿宋"/>
        </w:rPr>
        <w:t>3、钢板除特殊说明外，均采用低合金高强度结构钢Q345E，技术条件应符合《桥梁用结构钢》(GB／T-714-2008)规定的要求。</w:t>
      </w:r>
    </w:p>
    <w:p w14:paraId="693BA9AB">
      <w:pPr>
        <w:pStyle w:val="77"/>
        <w:rPr>
          <w:rFonts w:hint="eastAsia" w:ascii="仿宋" w:hAnsi="仿宋" w:eastAsia="仿宋"/>
        </w:rPr>
      </w:pPr>
      <w:r>
        <w:rPr>
          <w:rFonts w:hint="eastAsia" w:ascii="仿宋" w:hAnsi="仿宋" w:eastAsia="仿宋"/>
        </w:rPr>
        <w:t>4、凡需要焊接的钢筋均应满足可焊性的要求。</w:t>
      </w:r>
    </w:p>
    <w:p w14:paraId="30E8FF2E">
      <w:pPr>
        <w:pStyle w:val="207"/>
        <w:ind w:firstLine="482" w:firstLineChars="200"/>
        <w:rPr>
          <w:rFonts w:hint="eastAsia"/>
        </w:rPr>
      </w:pPr>
      <w:r>
        <w:rPr>
          <w:rFonts w:hint="eastAsia"/>
        </w:rPr>
        <w:t>设计要点</w:t>
      </w:r>
    </w:p>
    <w:p w14:paraId="75925D6D">
      <w:pPr>
        <w:pStyle w:val="77"/>
        <w:rPr>
          <w:rFonts w:hint="eastAsia" w:ascii="仿宋" w:hAnsi="仿宋" w:eastAsia="仿宋"/>
        </w:rPr>
      </w:pPr>
      <w:r>
        <w:rPr>
          <w:rFonts w:hint="eastAsia" w:ascii="仿宋" w:hAnsi="仿宋" w:eastAsia="仿宋"/>
        </w:rPr>
        <w:t>1、桥涵布设应符合河道和路线的总体走向。</w:t>
      </w:r>
    </w:p>
    <w:p w14:paraId="0B171703">
      <w:pPr>
        <w:pStyle w:val="77"/>
        <w:rPr>
          <w:rFonts w:hint="eastAsia" w:ascii="仿宋" w:hAnsi="仿宋" w:eastAsia="仿宋"/>
        </w:rPr>
      </w:pPr>
      <w:r>
        <w:rPr>
          <w:rFonts w:hint="eastAsia" w:ascii="仿宋" w:hAnsi="仿宋" w:eastAsia="仿宋"/>
        </w:rPr>
        <w:t>2、结构设计符合“技术先进、安全可靠、耐久适用、经济合理”的要求，并考虑施工工期和工艺的要求。</w:t>
      </w:r>
    </w:p>
    <w:p w14:paraId="0FDA7DAC">
      <w:pPr>
        <w:pStyle w:val="77"/>
        <w:rPr>
          <w:rFonts w:hint="eastAsia" w:ascii="仿宋" w:hAnsi="仿宋" w:eastAsia="仿宋"/>
        </w:rPr>
      </w:pPr>
      <w:r>
        <w:rPr>
          <w:rFonts w:hint="eastAsia" w:ascii="仿宋" w:hAnsi="仿宋" w:eastAsia="仿宋"/>
        </w:rPr>
        <w:t>3、桥涵总体设计原则为不降低原有河道、沟渠功能，尽量不破坏原有水系和排灌网络，满足行洪、防洪、灌溉等需要。</w:t>
      </w:r>
    </w:p>
    <w:p w14:paraId="4C13F012">
      <w:pPr>
        <w:pStyle w:val="77"/>
        <w:rPr>
          <w:rFonts w:hint="eastAsia" w:ascii="仿宋" w:hAnsi="仿宋" w:eastAsia="仿宋"/>
        </w:rPr>
      </w:pPr>
      <w:r>
        <w:rPr>
          <w:rFonts w:hint="eastAsia" w:ascii="仿宋" w:hAnsi="仿宋" w:eastAsia="仿宋"/>
        </w:rPr>
        <w:t>4、树立全寿命周期成本的设计理念，桥涵选用的结构必须具有足够的强度、刚度、稳定性和耐久性，满足行车的安全、平顺、舒适、快速的要求。</w:t>
      </w:r>
    </w:p>
    <w:p w14:paraId="33EDD268">
      <w:pPr>
        <w:pStyle w:val="77"/>
        <w:rPr>
          <w:rFonts w:hint="eastAsia" w:ascii="仿宋" w:hAnsi="仿宋" w:eastAsia="仿宋"/>
        </w:rPr>
      </w:pPr>
      <w:r>
        <w:rPr>
          <w:rFonts w:hint="eastAsia" w:ascii="仿宋" w:hAnsi="仿宋" w:eastAsia="仿宋"/>
        </w:rPr>
        <w:t>5、严格执行现行的相关规范、标准和准则。建立合理的结构力学模型，采用合适的参数，尽可能准确地模拟实际结构受力状态，对施工和使用过程中可能出现的各种工况进行分析，获得合理的结构计算结果。</w:t>
      </w:r>
    </w:p>
    <w:p w14:paraId="45ADC0E3">
      <w:pPr>
        <w:pStyle w:val="77"/>
        <w:rPr>
          <w:rFonts w:hint="eastAsia" w:ascii="仿宋" w:hAnsi="仿宋" w:eastAsia="仿宋"/>
        </w:rPr>
      </w:pPr>
      <w:r>
        <w:rPr>
          <w:rFonts w:hint="eastAsia" w:ascii="仿宋" w:hAnsi="仿宋" w:eastAsia="仿宋"/>
        </w:rPr>
        <w:t>6、结构设计根据工程地质、水文地质、环境条件等实际情况，充分考虑施工时对环境的影响，并采取相应的环境保护措施，最大限度地减少工程建设对现有环境的影响及其所引起的环境改变的不利影响。</w:t>
      </w:r>
    </w:p>
    <w:p w14:paraId="35CDADE4">
      <w:pPr>
        <w:pStyle w:val="77"/>
        <w:rPr>
          <w:rFonts w:hint="eastAsia" w:ascii="仿宋" w:hAnsi="仿宋" w:eastAsia="仿宋"/>
        </w:rPr>
      </w:pPr>
      <w:r>
        <w:rPr>
          <w:rFonts w:hint="eastAsia" w:ascii="仿宋" w:hAnsi="仿宋" w:eastAsia="仿宋"/>
        </w:rPr>
        <w:t>7、结构设计满足抗震设防的要求，并采取适当的抗震措施。</w:t>
      </w:r>
    </w:p>
    <w:p w14:paraId="2E94CD1C">
      <w:pPr>
        <w:pStyle w:val="77"/>
        <w:rPr>
          <w:rFonts w:hint="eastAsia" w:ascii="仿宋" w:hAnsi="仿宋" w:eastAsia="仿宋"/>
        </w:rPr>
      </w:pPr>
      <w:r>
        <w:rPr>
          <w:rFonts w:hint="eastAsia" w:ascii="仿宋" w:hAnsi="仿宋" w:eastAsia="仿宋"/>
        </w:rPr>
        <w:t>涵洞过水流量按无压力式涵洞设计。</w:t>
      </w:r>
    </w:p>
    <w:p w14:paraId="1D8D7760">
      <w:pPr>
        <w:pStyle w:val="207"/>
        <w:ind w:firstLine="482" w:firstLineChars="200"/>
        <w:rPr>
          <w:rFonts w:hint="eastAsia"/>
        </w:rPr>
      </w:pPr>
      <w:r>
        <w:rPr>
          <w:rFonts w:hint="eastAsia"/>
        </w:rPr>
        <w:t>涵洞结构耐久性设计</w:t>
      </w:r>
    </w:p>
    <w:p w14:paraId="57296D4C">
      <w:pPr>
        <w:pStyle w:val="77"/>
        <w:rPr>
          <w:rFonts w:hint="eastAsia" w:ascii="仿宋" w:hAnsi="仿宋" w:eastAsia="仿宋"/>
        </w:rPr>
      </w:pPr>
      <w:r>
        <w:rPr>
          <w:rFonts w:hint="eastAsia" w:ascii="仿宋" w:hAnsi="仿宋" w:eastAsia="仿宋"/>
        </w:rPr>
        <w:t>结构耐久性设计是确保在设计基准期内结构能够正常运营的重要保护屏障。基于结构耐久性设计的新设计理念认为耐久性的保证是需要涵洞设计、施工、运营和维护各个阶段共同努力的结果。工程设计者应充分认识到结构在设计寿命期内各个组成部件具有不同的耐久性极限。</w:t>
      </w:r>
    </w:p>
    <w:p w14:paraId="6B52EB20">
      <w:pPr>
        <w:pStyle w:val="77"/>
        <w:rPr>
          <w:rFonts w:hint="eastAsia" w:ascii="仿宋" w:hAnsi="仿宋" w:eastAsia="仿宋"/>
        </w:rPr>
      </w:pPr>
      <w:r>
        <w:rPr>
          <w:rFonts w:hint="eastAsia" w:ascii="仿宋" w:hAnsi="仿宋" w:eastAsia="仿宋"/>
        </w:rPr>
        <w:t>涵洞腐蚀病害预防措施：钢筋腐蚀与混凝土的碳化、氯离子侵蚀以及水分和氧的存在条件是分不开的，而提供这种条件的通道，一个是毛细孔道，另一个是混凝土裂缝，其中裂缝对钢筋的腐蚀影响更大，混凝土开裂后，钢筋的腐蚀速度将大大加快。因此，桥梁的防腐应从两方面入手，一是提高钢筋的混凝土保护层质量，阻止氯离子和水分对混凝土的侵蚀，延长混凝土的碳化时间，进而防止钢筋锈蚀；二是注重桥梁防水和防氯离子侵蚀。</w:t>
      </w:r>
    </w:p>
    <w:p w14:paraId="671327C1">
      <w:pPr>
        <w:pStyle w:val="77"/>
        <w:rPr>
          <w:rFonts w:hint="eastAsia" w:ascii="仿宋" w:hAnsi="仿宋" w:eastAsia="仿宋"/>
        </w:rPr>
      </w:pPr>
      <w:r>
        <w:rPr>
          <w:rFonts w:hint="eastAsia" w:ascii="仿宋" w:hAnsi="仿宋" w:eastAsia="仿宋"/>
        </w:rPr>
        <w:t>本项目地表和地下水质较好，对混凝土微腐蚀性。针对本项目的特点，在涵洞结构型式的选择上，主要采用普通钢筋混凝土板。未采用易腐蚀的钢结构型式，尽量避免大型复杂的结构型式，为后期养护提供便利。</w:t>
      </w:r>
    </w:p>
    <w:p w14:paraId="64E8FE23">
      <w:pPr>
        <w:pStyle w:val="77"/>
        <w:rPr>
          <w:rFonts w:hint="eastAsia" w:ascii="仿宋" w:hAnsi="仿宋" w:eastAsia="仿宋"/>
        </w:rPr>
      </w:pPr>
      <w:r>
        <w:rPr>
          <w:rFonts w:hint="eastAsia" w:ascii="仿宋" w:hAnsi="仿宋" w:eastAsia="仿宋"/>
        </w:rPr>
        <w:t>本项目区所处环境类别为Ⅱ类环境条件，对于钢筋的净保护层满足Ⅱ类环境受力主筋及箍筋最小保护层的要求.对于混凝土满足下表要求：</w:t>
      </w:r>
    </w:p>
    <w:p w14:paraId="596A7B8D">
      <w:pPr>
        <w:pStyle w:val="212"/>
        <w:rPr>
          <w:rFonts w:hint="eastAsia" w:hAnsi="宋体"/>
          <w:b w:val="0"/>
          <w:bCs/>
          <w:color w:val="000000"/>
        </w:rPr>
      </w:pPr>
      <w:r>
        <w:rPr>
          <w:rFonts w:hint="eastAsia"/>
        </w:rPr>
        <w:t>结构</w:t>
      </w:r>
      <w:r>
        <w:rPr>
          <w:rFonts w:hint="eastAsia" w:hAnsi="宋体"/>
          <w:bCs/>
          <w:color w:val="000000"/>
        </w:rPr>
        <w:t>混凝土耐久性要求</w:t>
      </w:r>
    </w:p>
    <w:tbl>
      <w:tblPr>
        <w:tblStyle w:val="27"/>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20"/>
        <w:gridCol w:w="1423"/>
        <w:gridCol w:w="1118"/>
        <w:gridCol w:w="1481"/>
        <w:gridCol w:w="1364"/>
        <w:gridCol w:w="1441"/>
        <w:gridCol w:w="1979"/>
      </w:tblGrid>
      <w:tr w14:paraId="4F856F7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564" w:type="pct"/>
            <w:shd w:val="clear" w:color="auto" w:fill="D9E2F3" w:themeFill="accent1" w:themeFillTint="33"/>
            <w:vAlign w:val="center"/>
          </w:tcPr>
          <w:p w14:paraId="6512AD35">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环境类别</w:t>
            </w:r>
          </w:p>
        </w:tc>
        <w:tc>
          <w:tcPr>
            <w:tcW w:w="717" w:type="pct"/>
            <w:shd w:val="clear" w:color="auto" w:fill="D9E2F3" w:themeFill="accent1" w:themeFillTint="33"/>
            <w:vAlign w:val="center"/>
          </w:tcPr>
          <w:p w14:paraId="188BB40E">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结构类别</w:t>
            </w:r>
          </w:p>
        </w:tc>
        <w:tc>
          <w:tcPr>
            <w:tcW w:w="563" w:type="pct"/>
            <w:shd w:val="clear" w:color="auto" w:fill="D9E2F3" w:themeFill="accent1" w:themeFillTint="33"/>
            <w:vAlign w:val="center"/>
          </w:tcPr>
          <w:p w14:paraId="428742D8">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最大水灰比</w:t>
            </w:r>
          </w:p>
        </w:tc>
        <w:tc>
          <w:tcPr>
            <w:tcW w:w="746" w:type="pct"/>
            <w:shd w:val="clear" w:color="auto" w:fill="D9E2F3" w:themeFill="accent1" w:themeFillTint="33"/>
            <w:vAlign w:val="center"/>
          </w:tcPr>
          <w:p w14:paraId="5A1C366D">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最小水泥用量（kg/m</w:t>
            </w:r>
            <w:r>
              <w:rPr>
                <w:rFonts w:ascii="Calibri" w:hAnsi="Calibri" w:eastAsia="仿宋" w:cs="Calibri"/>
                <w:color w:val="000000"/>
                <w:kern w:val="0"/>
                <w:sz w:val="21"/>
                <w:szCs w:val="21"/>
              </w:rPr>
              <w:t>³</w:t>
            </w:r>
            <w:r>
              <w:rPr>
                <w:rFonts w:hint="eastAsia" w:ascii="仿宋" w:hAnsi="仿宋" w:eastAsia="仿宋" w:cs="仿宋"/>
                <w:color w:val="000000"/>
                <w:kern w:val="0"/>
                <w:sz w:val="21"/>
                <w:szCs w:val="21"/>
              </w:rPr>
              <w:t>）</w:t>
            </w:r>
          </w:p>
        </w:tc>
        <w:tc>
          <w:tcPr>
            <w:tcW w:w="687" w:type="pct"/>
            <w:shd w:val="clear" w:color="auto" w:fill="D9E2F3" w:themeFill="accent1" w:themeFillTint="33"/>
            <w:vAlign w:val="center"/>
          </w:tcPr>
          <w:p w14:paraId="0760EB43">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最低混凝土强度等级</w:t>
            </w:r>
          </w:p>
        </w:tc>
        <w:tc>
          <w:tcPr>
            <w:tcW w:w="726" w:type="pct"/>
            <w:shd w:val="clear" w:color="auto" w:fill="D9E2F3" w:themeFill="accent1" w:themeFillTint="33"/>
            <w:vAlign w:val="center"/>
          </w:tcPr>
          <w:p w14:paraId="2C2E1FE4">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最大氯离子含量（%）</w:t>
            </w:r>
          </w:p>
        </w:tc>
        <w:tc>
          <w:tcPr>
            <w:tcW w:w="998" w:type="pct"/>
            <w:shd w:val="clear" w:color="auto" w:fill="D9E2F3" w:themeFill="accent1" w:themeFillTint="33"/>
            <w:vAlign w:val="center"/>
          </w:tcPr>
          <w:p w14:paraId="008A2A4D">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最大碱含量（kg/m</w:t>
            </w:r>
            <w:r>
              <w:rPr>
                <w:rFonts w:ascii="Calibri" w:hAnsi="Calibri" w:eastAsia="仿宋" w:cs="Calibri"/>
                <w:color w:val="000000"/>
                <w:kern w:val="0"/>
                <w:sz w:val="21"/>
                <w:szCs w:val="21"/>
              </w:rPr>
              <w:t>³</w:t>
            </w:r>
            <w:r>
              <w:rPr>
                <w:rFonts w:hint="eastAsia" w:ascii="仿宋" w:hAnsi="仿宋" w:eastAsia="仿宋" w:cs="仿宋"/>
                <w:color w:val="000000"/>
                <w:kern w:val="0"/>
                <w:sz w:val="21"/>
                <w:szCs w:val="21"/>
              </w:rPr>
              <w:t>）</w:t>
            </w:r>
          </w:p>
        </w:tc>
      </w:tr>
      <w:tr w14:paraId="1A9F987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64" w:type="pct"/>
            <w:vAlign w:val="center"/>
          </w:tcPr>
          <w:p w14:paraId="4D12EBFF">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Ⅱ</w:t>
            </w:r>
          </w:p>
        </w:tc>
        <w:tc>
          <w:tcPr>
            <w:tcW w:w="717" w:type="pct"/>
            <w:vAlign w:val="center"/>
          </w:tcPr>
          <w:p w14:paraId="69F475EB">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普通混凝土</w:t>
            </w:r>
          </w:p>
        </w:tc>
        <w:tc>
          <w:tcPr>
            <w:tcW w:w="563" w:type="pct"/>
            <w:vAlign w:val="center"/>
          </w:tcPr>
          <w:p w14:paraId="625CA1DE">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0.5</w:t>
            </w:r>
          </w:p>
        </w:tc>
        <w:tc>
          <w:tcPr>
            <w:tcW w:w="746" w:type="pct"/>
            <w:vAlign w:val="center"/>
          </w:tcPr>
          <w:p w14:paraId="16BAB843">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300</w:t>
            </w:r>
          </w:p>
        </w:tc>
        <w:tc>
          <w:tcPr>
            <w:tcW w:w="687" w:type="pct"/>
            <w:vAlign w:val="center"/>
          </w:tcPr>
          <w:p w14:paraId="143BAA6D">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C30</w:t>
            </w:r>
          </w:p>
        </w:tc>
        <w:tc>
          <w:tcPr>
            <w:tcW w:w="726" w:type="pct"/>
            <w:vAlign w:val="center"/>
          </w:tcPr>
          <w:p w14:paraId="5005C108">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0.15</w:t>
            </w:r>
          </w:p>
        </w:tc>
        <w:tc>
          <w:tcPr>
            <w:tcW w:w="998" w:type="pct"/>
            <w:vAlign w:val="center"/>
          </w:tcPr>
          <w:p w14:paraId="07CB3AE8">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3</w:t>
            </w:r>
          </w:p>
        </w:tc>
      </w:tr>
    </w:tbl>
    <w:p w14:paraId="77A80FCC">
      <w:pPr>
        <w:pStyle w:val="77"/>
        <w:rPr>
          <w:rFonts w:hint="eastAsia" w:ascii="仿宋" w:hAnsi="仿宋" w:eastAsia="仿宋"/>
        </w:rPr>
      </w:pPr>
      <w:r>
        <w:rPr>
          <w:rFonts w:hint="eastAsia" w:ascii="仿宋" w:hAnsi="仿宋" w:eastAsia="仿宋"/>
        </w:rPr>
        <w:t>涵洞设计基准期为100年。为保证混凝土达到设计的使用寿命，针对涵洞耐久性尤其是混凝土的耐久性进行了专门的设计，依据本工程的环境特点，为提高混凝土的耐久性，采取如下措施：</w:t>
      </w:r>
    </w:p>
    <w:p w14:paraId="057302C5">
      <w:pPr>
        <w:pStyle w:val="77"/>
        <w:rPr>
          <w:rFonts w:hint="eastAsia" w:ascii="仿宋" w:hAnsi="仿宋" w:eastAsia="仿宋"/>
        </w:rPr>
      </w:pPr>
      <w:r>
        <w:rPr>
          <w:rFonts w:hint="eastAsia" w:ascii="仿宋" w:hAnsi="仿宋" w:eastAsia="仿宋"/>
        </w:rPr>
        <w:t>1.混凝土应使用非碱活性集料，混凝土中最大碱含量为3.0kg/m</w:t>
      </w:r>
      <w:r>
        <w:rPr>
          <w:rFonts w:hint="eastAsia" w:ascii="仿宋" w:hAnsi="仿宋" w:eastAsia="仿宋"/>
          <w:vertAlign w:val="superscript"/>
        </w:rPr>
        <w:t>3</w:t>
      </w:r>
      <w:r>
        <w:rPr>
          <w:rFonts w:hint="eastAsia" w:ascii="仿宋" w:hAnsi="仿宋" w:eastAsia="仿宋"/>
        </w:rPr>
        <w:t>。</w:t>
      </w:r>
    </w:p>
    <w:p w14:paraId="283DE435">
      <w:pPr>
        <w:pStyle w:val="77"/>
        <w:rPr>
          <w:rFonts w:hint="eastAsia" w:ascii="仿宋" w:hAnsi="仿宋" w:eastAsia="仿宋"/>
        </w:rPr>
      </w:pPr>
      <w:r>
        <w:rPr>
          <w:rFonts w:hint="eastAsia" w:ascii="仿宋" w:hAnsi="仿宋" w:eastAsia="仿宋"/>
        </w:rPr>
        <w:t>2.混凝土中的钢筋保护层厚度、裂缝宽度满足《公路钢筋混凝土及预应力混凝土桥涵设计规范》要求。</w:t>
      </w:r>
    </w:p>
    <w:p w14:paraId="69689846">
      <w:pPr>
        <w:pStyle w:val="77"/>
        <w:rPr>
          <w:rFonts w:hint="eastAsia" w:ascii="仿宋" w:hAnsi="仿宋" w:eastAsia="仿宋"/>
        </w:rPr>
      </w:pPr>
      <w:r>
        <w:rPr>
          <w:rFonts w:hint="eastAsia" w:ascii="仿宋" w:hAnsi="仿宋" w:eastAsia="仿宋"/>
        </w:rPr>
        <w:t>3.位于水位变动区的有抗冻要求的结构混凝土，其抗冻等级应不小于F250，混凝土浇筑时应掺入适量引气剂。</w:t>
      </w:r>
    </w:p>
    <w:p w14:paraId="6CA69928">
      <w:pPr>
        <w:pStyle w:val="207"/>
        <w:ind w:firstLine="482" w:firstLineChars="200"/>
        <w:rPr>
          <w:rFonts w:hint="eastAsia"/>
        </w:rPr>
      </w:pPr>
      <w:r>
        <w:rPr>
          <w:rFonts w:hint="eastAsia"/>
        </w:rPr>
        <w:t xml:space="preserve">圆管涵施工要点 </w:t>
      </w:r>
    </w:p>
    <w:p w14:paraId="4E4E8AAB">
      <w:pPr>
        <w:pStyle w:val="77"/>
        <w:rPr>
          <w:rFonts w:hint="eastAsia" w:ascii="仿宋" w:hAnsi="仿宋" w:eastAsia="仿宋"/>
        </w:rPr>
      </w:pPr>
      <w:r>
        <w:rPr>
          <w:rFonts w:hint="eastAsia" w:ascii="仿宋" w:hAnsi="仿宋" w:eastAsia="仿宋"/>
        </w:rPr>
        <w:t>1、管节在对头拼接时，填塞缝隙的麻絮，上半圆应从外往里填塞，下半圆应从里往外填塞。</w:t>
      </w:r>
    </w:p>
    <w:p w14:paraId="362A94C5">
      <w:pPr>
        <w:pStyle w:val="77"/>
        <w:rPr>
          <w:rFonts w:hint="eastAsia" w:ascii="仿宋" w:hAnsi="仿宋" w:eastAsia="仿宋"/>
        </w:rPr>
      </w:pPr>
      <w:r>
        <w:rPr>
          <w:rFonts w:hint="eastAsia" w:ascii="仿宋" w:hAnsi="仿宋" w:eastAsia="仿宋"/>
        </w:rPr>
        <w:t>2、管节预制、运输、存放时，应注意轻放，堆放的底部应平整，必要时铺设5-10cm的砂垫层，使用力均匀，避免管节开裂。</w:t>
      </w:r>
    </w:p>
    <w:p w14:paraId="1A9A0A75">
      <w:pPr>
        <w:pStyle w:val="77"/>
        <w:rPr>
          <w:rFonts w:hint="eastAsia" w:ascii="仿宋" w:hAnsi="仿宋" w:eastAsia="仿宋"/>
        </w:rPr>
      </w:pPr>
      <w:r>
        <w:rPr>
          <w:rFonts w:hint="eastAsia" w:ascii="仿宋" w:hAnsi="仿宋" w:eastAsia="仿宋"/>
        </w:rPr>
        <w:t>3、当洞顶填土0.5m-1.0m时，管顶路基及管身两侧，在不小于两倍管径范围内，应用天然透水性材料保持最佳含水量每10cm一层，分层夯实，相对压实度达到90%。</w:t>
      </w:r>
    </w:p>
    <w:p w14:paraId="228FE985">
      <w:pPr>
        <w:pStyle w:val="77"/>
        <w:rPr>
          <w:rFonts w:hint="eastAsia" w:ascii="仿宋" w:hAnsi="仿宋" w:eastAsia="仿宋"/>
        </w:rPr>
      </w:pPr>
      <w:r>
        <w:rPr>
          <w:rFonts w:hint="eastAsia" w:ascii="仿宋" w:hAnsi="仿宋" w:eastAsia="仿宋"/>
        </w:rPr>
        <w:t>4、施工时，必须注意管涵的全长与管节的配置及端墙位置的准确，对斜交管涵应先配置两端的斜管节，其余按1m标准管节配置，当管节长度与实际涵长有微小差值时，应将差值平分于上、下游两端，为避免放样时的误差，可将一端洞口端墙于管节安装完毕后，再行浇筑。</w:t>
      </w:r>
    </w:p>
    <w:p w14:paraId="05FE63F1">
      <w:pPr>
        <w:pStyle w:val="77"/>
        <w:rPr>
          <w:rFonts w:hint="eastAsia" w:ascii="仿宋" w:hAnsi="仿宋" w:eastAsia="仿宋"/>
        </w:rPr>
      </w:pPr>
      <w:r>
        <w:rPr>
          <w:rFonts w:hint="eastAsia" w:ascii="仿宋" w:hAnsi="仿宋" w:eastAsia="仿宋"/>
        </w:rPr>
        <w:t>5、管涵基底应按设计要求铺设，必须注意平整，砂砾垫层必须均匀、密实。</w:t>
      </w:r>
    </w:p>
    <w:p w14:paraId="0B4CD91D">
      <w:pPr>
        <w:pStyle w:val="77"/>
        <w:rPr>
          <w:rFonts w:hint="eastAsia" w:ascii="仿宋" w:hAnsi="仿宋" w:eastAsia="仿宋"/>
        </w:rPr>
      </w:pPr>
      <w:r>
        <w:rPr>
          <w:rFonts w:hint="eastAsia" w:ascii="仿宋" w:hAnsi="仿宋" w:eastAsia="仿宋"/>
        </w:rPr>
        <w:t>6、施工时，当管顶复土厚度度小于0.5m时，应严禁重型车辆通过。</w:t>
      </w:r>
    </w:p>
    <w:p w14:paraId="1E31E8BB">
      <w:pPr>
        <w:pStyle w:val="207"/>
        <w:ind w:firstLine="482" w:firstLineChars="200"/>
        <w:rPr>
          <w:rFonts w:hint="eastAsia"/>
        </w:rPr>
      </w:pPr>
      <w:r>
        <w:rPr>
          <w:rFonts w:hint="eastAsia"/>
        </w:rPr>
        <w:t>盖板涵施工要点</w:t>
      </w:r>
    </w:p>
    <w:p w14:paraId="7BBA1470">
      <w:pPr>
        <w:pStyle w:val="77"/>
        <w:rPr>
          <w:rFonts w:hint="eastAsia" w:ascii="仿宋" w:hAnsi="仿宋" w:eastAsia="仿宋"/>
        </w:rPr>
      </w:pPr>
      <w:r>
        <w:rPr>
          <w:rFonts w:hint="eastAsia" w:ascii="仿宋" w:hAnsi="仿宋" w:eastAsia="仿宋"/>
        </w:rPr>
        <w:t>1、明涵上部采用在支架上整体浇注混凝土一次性落架施工方法。施工前应根据支架所承担荷载，对支架、基础的强度、刚度、稳定性进行计算，且应满足相应规范要求。应绘制支架的总装图和细部构造图。拆除支架应对称、均匀，不允许某个局部突然撤架现象，避免出现主梁局部产生过大应力。</w:t>
      </w:r>
    </w:p>
    <w:p w14:paraId="2CAF09F8">
      <w:pPr>
        <w:pStyle w:val="77"/>
        <w:rPr>
          <w:rFonts w:hint="eastAsia" w:ascii="仿宋" w:hAnsi="仿宋" w:eastAsia="仿宋"/>
        </w:rPr>
      </w:pPr>
      <w:r>
        <w:rPr>
          <w:rFonts w:hint="eastAsia" w:ascii="仿宋" w:hAnsi="仿宋" w:eastAsia="仿宋"/>
        </w:rPr>
        <w:t>2、模板应坚固平整，模板内侧应铺设环氧树脂板或镀锌铁皮，铺设镀锌铁皮后应涂隔离剂，以保证梁体表面光滑平整，减少混凝土收缩应力。</w:t>
      </w:r>
    </w:p>
    <w:p w14:paraId="521E3D8B">
      <w:pPr>
        <w:pStyle w:val="77"/>
        <w:rPr>
          <w:rFonts w:hint="eastAsia" w:ascii="仿宋" w:hAnsi="仿宋" w:eastAsia="仿宋"/>
        </w:rPr>
      </w:pPr>
      <w:r>
        <w:rPr>
          <w:rFonts w:hint="eastAsia" w:ascii="仿宋" w:hAnsi="仿宋" w:eastAsia="仿宋"/>
        </w:rPr>
        <w:t>3、涵洞现浇板内钢筋密集，个别普通钢筋位置发生冲突时，应确保主受力钢筋位置的准确，钢筋位置优先顺序为：①主梁纵向受力钢筋；②箍筋及横向受力钢筋。</w:t>
      </w:r>
    </w:p>
    <w:p w14:paraId="6D2BDE27">
      <w:pPr>
        <w:pStyle w:val="77"/>
        <w:rPr>
          <w:rFonts w:hint="eastAsia" w:ascii="仿宋" w:hAnsi="仿宋" w:eastAsia="仿宋"/>
        </w:rPr>
      </w:pPr>
      <w:r>
        <w:rPr>
          <w:rFonts w:hint="eastAsia" w:ascii="仿宋" w:hAnsi="仿宋" w:eastAsia="仿宋"/>
        </w:rPr>
        <w:t>4、自高处倾卸混凝土应注意的问题是防止混凝土离析。</w:t>
      </w:r>
    </w:p>
    <w:p w14:paraId="46F66425">
      <w:pPr>
        <w:pStyle w:val="77"/>
        <w:rPr>
          <w:rFonts w:hint="eastAsia" w:ascii="仿宋" w:hAnsi="仿宋" w:eastAsia="仿宋"/>
        </w:rPr>
      </w:pPr>
      <w:r>
        <w:rPr>
          <w:rFonts w:hint="eastAsia" w:ascii="仿宋" w:hAnsi="仿宋" w:eastAsia="仿宋"/>
        </w:rPr>
        <w:t>5、混凝土一般是分层浇筑，但为使上下层成为整体，避免形成接缝，浇筑上层时插入振捣器伸入到下层一定深度(5～10cm)，同时下层混凝土须仍保持一定的塑</w:t>
      </w:r>
      <w:bookmarkStart w:id="1" w:name="_Toc209257001"/>
      <w:bookmarkEnd w:id="1"/>
      <w:r>
        <w:rPr>
          <w:rFonts w:hint="eastAsia" w:ascii="仿宋" w:hAnsi="仿宋" w:eastAsia="仿宋"/>
        </w:rPr>
        <w:t>性，因此规定须在下层混凝土初凝或能重塑以前浇筑完成上层混凝土。</w:t>
      </w:r>
    </w:p>
    <w:p w14:paraId="756CC185">
      <w:pPr>
        <w:pStyle w:val="77"/>
        <w:rPr>
          <w:rFonts w:hint="eastAsia" w:ascii="仿宋" w:hAnsi="仿宋" w:eastAsia="仿宋"/>
        </w:rPr>
      </w:pPr>
      <w:r>
        <w:rPr>
          <w:rFonts w:hint="eastAsia" w:ascii="仿宋" w:hAnsi="仿宋" w:eastAsia="仿宋"/>
        </w:rPr>
        <w:t>6、插入式振捣器移动时插点若相距过远，则两次振动器作用半径之间的混凝土可能为得到振实；若相距过近，则一方面施工进度较慢，另一方面可能造成重复振捣而使混凝土产生离析。</w:t>
      </w:r>
    </w:p>
    <w:p w14:paraId="6849029A">
      <w:pPr>
        <w:pStyle w:val="77"/>
        <w:rPr>
          <w:rFonts w:hint="eastAsia" w:ascii="仿宋" w:hAnsi="仿宋" w:eastAsia="仿宋"/>
        </w:rPr>
      </w:pPr>
      <w:r>
        <w:rPr>
          <w:rFonts w:hint="eastAsia" w:ascii="仿宋" w:hAnsi="仿宋" w:eastAsia="仿宋"/>
        </w:rPr>
        <w:t>7、振动器与侧模板保持5～10cm距离，是为了防止侧模板受振动影响而变形或振动器碰撞模板、钢筋、预埋件等。振动器插入下层混凝土5～10cm可使上下层结合成整体，防止产生工作缝。振动完毕如急速提出，则振动器周围的混凝土来不及填补其孔洞，故规定应边振动边徐徐提出振动棒。</w:t>
      </w:r>
    </w:p>
    <w:p w14:paraId="53F5AE61">
      <w:pPr>
        <w:pStyle w:val="77"/>
        <w:rPr>
          <w:rFonts w:hint="eastAsia" w:ascii="仿宋" w:hAnsi="仿宋" w:eastAsia="仿宋"/>
        </w:rPr>
      </w:pPr>
      <w:r>
        <w:rPr>
          <w:rFonts w:hint="eastAsia" w:ascii="仿宋" w:hAnsi="仿宋" w:eastAsia="仿宋"/>
        </w:rPr>
        <w:t>8、混凝土浇筑工作在正常情况下应尽可能连续进行，但遇到停电、搅拌机故障、下雨等意外时，间断时间如超过已浇筑前层混凝土的初凝时间或重塑时间，则应按工作缝处理。</w:t>
      </w:r>
    </w:p>
    <w:p w14:paraId="132F9050">
      <w:pPr>
        <w:pStyle w:val="206"/>
        <w:rPr>
          <w:rFonts w:hint="eastAsia"/>
        </w:rPr>
      </w:pPr>
      <w:r>
        <w:rPr>
          <w:rFonts w:hint="eastAsia"/>
        </w:rPr>
        <w:t>筑路材料</w:t>
      </w:r>
    </w:p>
    <w:p w14:paraId="22C01512">
      <w:pPr>
        <w:pStyle w:val="207"/>
        <w:ind w:firstLine="482" w:firstLineChars="200"/>
        <w:rPr>
          <w:rFonts w:hint="eastAsia"/>
        </w:rPr>
      </w:pPr>
      <w:bookmarkStart w:id="2" w:name="_Toc496888226"/>
      <w:bookmarkStart w:id="3" w:name="_Toc496948873"/>
      <w:r>
        <w:rPr>
          <w:rFonts w:hint="eastAsia"/>
        </w:rPr>
        <w:t>沿线筑路材料情况</w:t>
      </w:r>
      <w:bookmarkEnd w:id="2"/>
      <w:bookmarkEnd w:id="3"/>
    </w:p>
    <w:p w14:paraId="3DF51C5F">
      <w:pPr>
        <w:pStyle w:val="77"/>
        <w:rPr>
          <w:rFonts w:hint="eastAsia" w:ascii="仿宋" w:hAnsi="仿宋" w:eastAsia="仿宋"/>
        </w:rPr>
      </w:pPr>
      <w:r>
        <w:rPr>
          <w:rFonts w:hint="eastAsia" w:ascii="仿宋" w:hAnsi="仿宋" w:eastAsia="仿宋"/>
        </w:rPr>
        <w:t>本项目沿线筑路材料丰富，运输情况较好，质量和数量可满足供应。经调查，大部分材料料场以销定产，因而要求在公路开工前与厂家协商，提前安排，以便满足工程需要。通过对沿线筑路材料的调查，确定各种材料供应地点。</w:t>
      </w:r>
    </w:p>
    <w:p w14:paraId="7F4E3143">
      <w:pPr>
        <w:pStyle w:val="77"/>
        <w:rPr>
          <w:rFonts w:hint="eastAsia" w:ascii="仿宋" w:hAnsi="仿宋" w:eastAsia="仿宋"/>
        </w:rPr>
      </w:pPr>
      <w:r>
        <w:rPr>
          <w:rFonts w:hint="eastAsia" w:ascii="仿宋" w:hAnsi="仿宋" w:eastAsia="仿宋"/>
        </w:rPr>
        <w:t>本工程位于马鹿沟镇梨树沟村、农场村，该项目建设需要使用大量的沥青、碎石和砂砾等建筑材料，根据调查，沿线筑路主要材料较丰富，可从附近购进，其他材料需要外购，满足工程建设的需要。</w:t>
      </w:r>
    </w:p>
    <w:p w14:paraId="75C4E5DA">
      <w:pPr>
        <w:pStyle w:val="77"/>
        <w:rPr>
          <w:rFonts w:hint="eastAsia" w:ascii="仿宋" w:hAnsi="仿宋" w:eastAsia="仿宋"/>
        </w:rPr>
      </w:pPr>
      <w:r>
        <w:rPr>
          <w:rFonts w:hint="eastAsia" w:ascii="仿宋" w:hAnsi="仿宋" w:eastAsia="仿宋"/>
        </w:rPr>
        <w:t>1、碎石料场</w:t>
      </w:r>
    </w:p>
    <w:p w14:paraId="1DB2C89E">
      <w:pPr>
        <w:pStyle w:val="77"/>
        <w:rPr>
          <w:rFonts w:hint="eastAsia" w:ascii="仿宋" w:hAnsi="仿宋" w:eastAsia="仿宋"/>
        </w:rPr>
      </w:pPr>
      <w:r>
        <w:rPr>
          <w:rFonts w:hint="eastAsia" w:ascii="仿宋" w:hAnsi="仿宋" w:eastAsia="仿宋"/>
        </w:rPr>
        <w:t>马鹿沟镇石场，产量丰富，储量为30万立方米，汽车运输。平均运距20公里。</w:t>
      </w:r>
    </w:p>
    <w:p w14:paraId="6EC728F1">
      <w:pPr>
        <w:pStyle w:val="77"/>
        <w:rPr>
          <w:rFonts w:hint="eastAsia" w:ascii="仿宋" w:hAnsi="仿宋" w:eastAsia="仿宋"/>
        </w:rPr>
      </w:pPr>
      <w:r>
        <w:rPr>
          <w:rFonts w:hint="eastAsia" w:ascii="仿宋" w:hAnsi="仿宋" w:eastAsia="仿宋"/>
        </w:rPr>
        <w:t>2、片、块石料场</w:t>
      </w:r>
    </w:p>
    <w:p w14:paraId="697A93B1">
      <w:pPr>
        <w:pStyle w:val="77"/>
        <w:rPr>
          <w:rFonts w:hint="eastAsia" w:ascii="仿宋" w:hAnsi="仿宋" w:eastAsia="仿宋"/>
        </w:rPr>
      </w:pPr>
      <w:r>
        <w:rPr>
          <w:rFonts w:hint="eastAsia" w:ascii="仿宋" w:hAnsi="仿宋" w:eastAsia="仿宋"/>
        </w:rPr>
        <w:t>马鹿沟镇石场，产量丰富，储量为30万立方米，汽车运输。平均运距20公里。</w:t>
      </w:r>
    </w:p>
    <w:p w14:paraId="1E80EE1B">
      <w:pPr>
        <w:pStyle w:val="77"/>
        <w:rPr>
          <w:rFonts w:hint="eastAsia" w:ascii="仿宋" w:hAnsi="仿宋" w:eastAsia="仿宋"/>
        </w:rPr>
      </w:pPr>
      <w:r>
        <w:rPr>
          <w:rFonts w:hint="eastAsia" w:ascii="仿宋" w:hAnsi="仿宋" w:eastAsia="仿宋"/>
        </w:rPr>
        <w:t>3、砂、砂砾料场</w:t>
      </w:r>
    </w:p>
    <w:p w14:paraId="533B3E80">
      <w:pPr>
        <w:pStyle w:val="77"/>
        <w:rPr>
          <w:rFonts w:hint="eastAsia" w:ascii="仿宋" w:hAnsi="仿宋" w:eastAsia="仿宋"/>
        </w:rPr>
      </w:pPr>
      <w:r>
        <w:rPr>
          <w:rFonts w:hint="eastAsia" w:ascii="仿宋" w:hAnsi="仿宋" w:eastAsia="仿宋"/>
        </w:rPr>
        <w:t>马鹿沟镇砂场，产量丰富，储量为25万立方米，汽车运输。平均运距20公里。</w:t>
      </w:r>
    </w:p>
    <w:p w14:paraId="22D99349">
      <w:pPr>
        <w:pStyle w:val="77"/>
        <w:rPr>
          <w:rFonts w:hint="eastAsia" w:ascii="仿宋" w:hAnsi="仿宋" w:eastAsia="仿宋"/>
        </w:rPr>
      </w:pPr>
      <w:r>
        <w:rPr>
          <w:rFonts w:hint="eastAsia" w:ascii="仿宋" w:hAnsi="仿宋" w:eastAsia="仿宋"/>
        </w:rPr>
        <w:t>4、水泥</w:t>
      </w:r>
    </w:p>
    <w:p w14:paraId="0FF428BF">
      <w:pPr>
        <w:pStyle w:val="77"/>
        <w:rPr>
          <w:rFonts w:hint="eastAsia" w:ascii="仿宋" w:hAnsi="仿宋" w:eastAsia="仿宋"/>
        </w:rPr>
      </w:pPr>
      <w:r>
        <w:rPr>
          <w:rFonts w:hint="eastAsia" w:ascii="仿宋" w:hAnsi="仿宋" w:eastAsia="仿宋"/>
        </w:rPr>
        <w:t>临江市水泥厂，产量丰富，汽车运输。平均运距210公里。</w:t>
      </w:r>
    </w:p>
    <w:p w14:paraId="24CBD6F8">
      <w:pPr>
        <w:pStyle w:val="77"/>
        <w:rPr>
          <w:rFonts w:hint="eastAsia" w:ascii="仿宋" w:hAnsi="仿宋" w:eastAsia="仿宋"/>
        </w:rPr>
      </w:pPr>
      <w:r>
        <w:rPr>
          <w:rFonts w:hint="eastAsia" w:ascii="仿宋" w:hAnsi="仿宋" w:eastAsia="仿宋"/>
        </w:rPr>
        <w:t>5、沥青混凝土</w:t>
      </w:r>
    </w:p>
    <w:p w14:paraId="3B02A8AF">
      <w:pPr>
        <w:pStyle w:val="77"/>
        <w:rPr>
          <w:rFonts w:hint="eastAsia" w:ascii="仿宋" w:hAnsi="仿宋" w:eastAsia="仿宋"/>
        </w:rPr>
      </w:pPr>
      <w:r>
        <w:rPr>
          <w:rFonts w:hint="eastAsia" w:ascii="仿宋" w:hAnsi="仿宋" w:eastAsia="仿宋"/>
        </w:rPr>
        <w:t>临江市沥青拌合站，产量丰富，汽车运输。平均运距210公里。</w:t>
      </w:r>
    </w:p>
    <w:p w14:paraId="700E0B14">
      <w:pPr>
        <w:pStyle w:val="77"/>
        <w:rPr>
          <w:rFonts w:hint="eastAsia" w:ascii="仿宋" w:hAnsi="仿宋" w:eastAsia="仿宋"/>
        </w:rPr>
      </w:pPr>
      <w:r>
        <w:rPr>
          <w:rFonts w:hint="eastAsia" w:ascii="仿宋" w:hAnsi="仿宋" w:eastAsia="仿宋"/>
        </w:rPr>
        <w:t>6、钢材</w:t>
      </w:r>
    </w:p>
    <w:p w14:paraId="65CBDF5F">
      <w:pPr>
        <w:pStyle w:val="77"/>
        <w:rPr>
          <w:rFonts w:hint="eastAsia" w:ascii="仿宋" w:hAnsi="仿宋" w:eastAsia="仿宋"/>
        </w:rPr>
      </w:pPr>
      <w:r>
        <w:rPr>
          <w:rFonts w:hint="eastAsia" w:ascii="仿宋" w:hAnsi="仿宋" w:eastAsia="仿宋"/>
        </w:rPr>
        <w:t>长白县市场，产量丰富，汽车运输。平均运距15公里。</w:t>
      </w:r>
    </w:p>
    <w:p w14:paraId="594528EF">
      <w:pPr>
        <w:pStyle w:val="207"/>
        <w:ind w:firstLine="482" w:firstLineChars="200"/>
        <w:rPr>
          <w:rFonts w:hint="eastAsia"/>
        </w:rPr>
      </w:pPr>
      <w:bookmarkStart w:id="4" w:name="_Toc496948874"/>
      <w:bookmarkStart w:id="5" w:name="_Toc496888227"/>
      <w:bookmarkStart w:id="6" w:name="_Toc490590607"/>
      <w:r>
        <w:rPr>
          <w:rFonts w:hint="eastAsia"/>
        </w:rPr>
        <w:t>工程用电</w:t>
      </w:r>
      <w:bookmarkEnd w:id="4"/>
      <w:bookmarkEnd w:id="5"/>
      <w:bookmarkEnd w:id="6"/>
    </w:p>
    <w:p w14:paraId="4D404878">
      <w:pPr>
        <w:pStyle w:val="77"/>
        <w:rPr>
          <w:rFonts w:hint="eastAsia" w:ascii="仿宋" w:hAnsi="仿宋" w:eastAsia="仿宋"/>
        </w:rPr>
      </w:pPr>
      <w:r>
        <w:rPr>
          <w:rFonts w:hint="eastAsia" w:ascii="仿宋" w:hAnsi="仿宋" w:eastAsia="仿宋"/>
        </w:rPr>
        <w:t>本工程采用自发电。</w:t>
      </w:r>
    </w:p>
    <w:p w14:paraId="3628EFCC">
      <w:pPr>
        <w:pStyle w:val="207"/>
        <w:ind w:firstLine="482" w:firstLineChars="200"/>
        <w:rPr>
          <w:rFonts w:hint="eastAsia"/>
        </w:rPr>
      </w:pPr>
      <w:bookmarkStart w:id="7" w:name="_Toc496888228"/>
      <w:bookmarkStart w:id="8" w:name="_Toc496948875"/>
      <w:bookmarkStart w:id="9" w:name="_Toc490590608"/>
      <w:r>
        <w:rPr>
          <w:rFonts w:hint="eastAsia"/>
        </w:rPr>
        <w:t>运输条件</w:t>
      </w:r>
      <w:bookmarkEnd w:id="7"/>
      <w:bookmarkEnd w:id="8"/>
      <w:bookmarkEnd w:id="9"/>
    </w:p>
    <w:p w14:paraId="5B843488">
      <w:pPr>
        <w:pStyle w:val="77"/>
        <w:rPr>
          <w:rFonts w:hint="eastAsia" w:ascii="仿宋" w:hAnsi="仿宋" w:eastAsia="仿宋"/>
        </w:rPr>
      </w:pPr>
      <w:r>
        <w:rPr>
          <w:rFonts w:hint="eastAsia" w:ascii="仿宋" w:hAnsi="仿宋" w:eastAsia="仿宋"/>
        </w:rPr>
        <w:t>项目区域的公路运输比较发达，各等级公路运输条件便利，工程所需的砂、石、土料以及其它建筑材料均可利用现有道路运至工地，但施工期由于该路段封闭交通施工，对材料运输产生一定影响，应提前做好材料储备，运输基本以汽车为主。</w:t>
      </w:r>
    </w:p>
    <w:p w14:paraId="79E033EC">
      <w:pPr>
        <w:pStyle w:val="206"/>
        <w:rPr>
          <w:rFonts w:hint="eastAsia"/>
        </w:rPr>
      </w:pPr>
      <w:r>
        <w:rPr>
          <w:rFonts w:hint="eastAsia"/>
        </w:rPr>
        <w:t>施工组设计</w:t>
      </w:r>
    </w:p>
    <w:p w14:paraId="2934E1DE">
      <w:pPr>
        <w:pStyle w:val="207"/>
        <w:ind w:firstLine="482" w:firstLineChars="200"/>
        <w:rPr>
          <w:rFonts w:hint="eastAsia"/>
        </w:rPr>
      </w:pPr>
      <w:bookmarkStart w:id="10" w:name="_Toc496888230"/>
      <w:bookmarkStart w:id="11" w:name="_Toc496948877"/>
      <w:r>
        <w:rPr>
          <w:rFonts w:hint="eastAsia"/>
        </w:rPr>
        <w:t>建设工期安排</w:t>
      </w:r>
      <w:bookmarkEnd w:id="10"/>
      <w:bookmarkEnd w:id="11"/>
    </w:p>
    <w:p w14:paraId="6CC9C24F">
      <w:pPr>
        <w:pStyle w:val="77"/>
        <w:rPr>
          <w:rFonts w:hint="eastAsia" w:ascii="仿宋" w:hAnsi="仿宋" w:eastAsia="仿宋"/>
        </w:rPr>
      </w:pPr>
      <w:r>
        <w:rPr>
          <w:rFonts w:hint="eastAsia" w:ascii="仿宋" w:hAnsi="仿宋" w:eastAsia="仿宋"/>
        </w:rPr>
        <w:t>根据项目建设规模及施工难度等情况，本项目建设期为8个月，即2026年5月—2026年12月。</w:t>
      </w:r>
    </w:p>
    <w:p w14:paraId="1330478A">
      <w:pPr>
        <w:pStyle w:val="77"/>
        <w:rPr>
          <w:rFonts w:hint="eastAsia" w:ascii="仿宋" w:hAnsi="仿宋" w:eastAsia="仿宋"/>
        </w:rPr>
      </w:pPr>
      <w:r>
        <w:rPr>
          <w:rFonts w:hint="eastAsia" w:ascii="仿宋" w:hAnsi="仿宋" w:eastAsia="仿宋"/>
        </w:rPr>
        <w:t>项目按实际情况分阶段进行，具体实施计划为：</w:t>
      </w:r>
    </w:p>
    <w:p w14:paraId="3E352FE8">
      <w:pPr>
        <w:pStyle w:val="77"/>
        <w:rPr>
          <w:rFonts w:hint="eastAsia" w:ascii="仿宋" w:hAnsi="仿宋" w:eastAsia="仿宋"/>
        </w:rPr>
      </w:pPr>
      <w:r>
        <w:rPr>
          <w:rFonts w:hint="eastAsia" w:ascii="仿宋" w:hAnsi="仿宋" w:eastAsia="仿宋"/>
        </w:rPr>
        <w:t>1、项目前期工作：设计和组织招投标等其他前期文件的编制和审查等上述前期工作预计需用1个月。</w:t>
      </w:r>
    </w:p>
    <w:p w14:paraId="197BA8A8">
      <w:pPr>
        <w:pStyle w:val="77"/>
        <w:rPr>
          <w:rFonts w:hint="eastAsia" w:ascii="仿宋" w:hAnsi="仿宋" w:eastAsia="仿宋"/>
        </w:rPr>
      </w:pPr>
      <w:r>
        <w:rPr>
          <w:rFonts w:hint="eastAsia" w:ascii="仿宋" w:hAnsi="仿宋" w:eastAsia="仿宋"/>
        </w:rPr>
        <w:t>2、项目实施期：项目报告批复后，需进行资金筹措、办理开工手续、土建工程施工和安装工程施工等工作，预计需用6个月。</w:t>
      </w:r>
    </w:p>
    <w:p w14:paraId="3801F28C">
      <w:pPr>
        <w:pStyle w:val="77"/>
        <w:rPr>
          <w:rFonts w:hint="eastAsia" w:ascii="仿宋" w:hAnsi="仿宋" w:eastAsia="仿宋"/>
        </w:rPr>
      </w:pPr>
      <w:r>
        <w:rPr>
          <w:rFonts w:hint="eastAsia" w:ascii="仿宋" w:hAnsi="仿宋" w:eastAsia="仿宋"/>
        </w:rPr>
        <w:t>3、项目竣工验收及投入使用：系统调试、投入试运行等，预计需用1个月时间。</w:t>
      </w:r>
    </w:p>
    <w:p w14:paraId="3DC2C392">
      <w:pPr>
        <w:pStyle w:val="207"/>
        <w:ind w:firstLine="482" w:firstLineChars="200"/>
        <w:rPr>
          <w:rFonts w:hint="eastAsia"/>
        </w:rPr>
      </w:pPr>
      <w:bookmarkStart w:id="12" w:name="_Toc496888231"/>
      <w:bookmarkStart w:id="13" w:name="_Toc496948878"/>
      <w:r>
        <w:rPr>
          <w:rFonts w:hint="eastAsia"/>
        </w:rPr>
        <w:t>项目实施进度安排</w:t>
      </w:r>
      <w:bookmarkEnd w:id="12"/>
      <w:bookmarkEnd w:id="13"/>
    </w:p>
    <w:p w14:paraId="73D5824A">
      <w:pPr>
        <w:pStyle w:val="77"/>
        <w:rPr>
          <w:rFonts w:hint="eastAsia" w:ascii="仿宋" w:hAnsi="仿宋" w:eastAsia="仿宋"/>
        </w:rPr>
      </w:pPr>
      <w:r>
        <w:rPr>
          <w:rFonts w:hint="eastAsia" w:ascii="仿宋" w:hAnsi="仿宋" w:eastAsia="仿宋"/>
        </w:rPr>
        <w:t>1、项目前期工作：2026年5月</w:t>
      </w:r>
    </w:p>
    <w:p w14:paraId="60F4514F">
      <w:pPr>
        <w:pStyle w:val="77"/>
        <w:rPr>
          <w:rFonts w:hint="eastAsia" w:ascii="仿宋" w:hAnsi="仿宋" w:eastAsia="仿宋"/>
        </w:rPr>
      </w:pPr>
      <w:r>
        <w:rPr>
          <w:rFonts w:hint="eastAsia" w:ascii="仿宋" w:hAnsi="仿宋" w:eastAsia="仿宋"/>
        </w:rPr>
        <w:t>2、项目实施期：2026年6月—2026年11月</w:t>
      </w:r>
    </w:p>
    <w:p w14:paraId="17E02A6E">
      <w:pPr>
        <w:pStyle w:val="77"/>
        <w:rPr>
          <w:rFonts w:hint="eastAsia" w:ascii="仿宋" w:hAnsi="仿宋" w:eastAsia="仿宋"/>
        </w:rPr>
      </w:pPr>
      <w:r>
        <w:rPr>
          <w:rFonts w:hint="eastAsia" w:ascii="仿宋" w:hAnsi="仿宋" w:eastAsia="仿宋"/>
        </w:rPr>
        <w:t>3、项目投入使用、预验收阶段：2026年12月</w:t>
      </w:r>
    </w:p>
    <w:p w14:paraId="0DC87290">
      <w:pPr>
        <w:pStyle w:val="207"/>
        <w:ind w:firstLine="482" w:firstLineChars="200"/>
        <w:rPr>
          <w:rFonts w:hint="eastAsia"/>
        </w:rPr>
      </w:pPr>
      <w:r>
        <w:rPr>
          <w:rFonts w:hint="eastAsia"/>
        </w:rPr>
        <w:t>主要工程的施工方案</w:t>
      </w:r>
    </w:p>
    <w:p w14:paraId="5DDFC56B">
      <w:pPr>
        <w:pStyle w:val="77"/>
        <w:rPr>
          <w:rFonts w:hint="eastAsia" w:ascii="仿宋" w:hAnsi="仿宋" w:eastAsia="仿宋"/>
        </w:rPr>
      </w:pPr>
      <w:r>
        <w:rPr>
          <w:rFonts w:hint="eastAsia" w:ascii="仿宋" w:hAnsi="仿宋" w:eastAsia="仿宋"/>
        </w:rPr>
        <w:t>本路段的重点工程主要集中在桥涵上。桥涵要尽早安排施工，保证桥涵与路面同步进行。临近村镇路段应按环保要求，减少对当地群众生产、生活及环境的干扰与破坏，特别是对当地草场及牲畜的影响应尽量降至最低。</w:t>
      </w:r>
    </w:p>
    <w:p w14:paraId="6CA5822B">
      <w:pPr>
        <w:pStyle w:val="77"/>
        <w:rPr>
          <w:rFonts w:hint="eastAsia" w:ascii="仿宋" w:hAnsi="仿宋" w:eastAsia="仿宋"/>
        </w:rPr>
      </w:pPr>
      <w:r>
        <w:rPr>
          <w:rFonts w:hint="eastAsia" w:ascii="仿宋" w:hAnsi="仿宋" w:eastAsia="仿宋"/>
        </w:rPr>
        <w:t>对于制约工期的主要工序桥涵工程，建议增加队伍和施工机械，安排连续施工，做到歇人不歇机，增加班次或工作人数，提高工程进度。</w:t>
      </w:r>
    </w:p>
    <w:p w14:paraId="247FA5D5">
      <w:pPr>
        <w:pStyle w:val="207"/>
        <w:ind w:firstLine="482" w:firstLineChars="200"/>
        <w:rPr>
          <w:rFonts w:hint="eastAsia"/>
        </w:rPr>
      </w:pPr>
      <w:r>
        <w:rPr>
          <w:rFonts w:hint="eastAsia"/>
        </w:rPr>
        <w:t>施工准备工作的意见</w:t>
      </w:r>
    </w:p>
    <w:p w14:paraId="500999BF">
      <w:pPr>
        <w:pStyle w:val="77"/>
        <w:rPr>
          <w:rFonts w:hint="eastAsia" w:ascii="仿宋" w:hAnsi="仿宋" w:eastAsia="仿宋"/>
        </w:rPr>
      </w:pPr>
      <w:r>
        <w:rPr>
          <w:rFonts w:hint="eastAsia" w:ascii="仿宋" w:hAnsi="仿宋" w:eastAsia="仿宋"/>
        </w:rPr>
        <w:t>本项目为梨树沟村和农场村村民通行的主要通道，为尽早恢复其功能建成通车，建设期为9个月，施工方在施工组织中加强管理，保证施工进度。</w:t>
      </w:r>
    </w:p>
    <w:p w14:paraId="1B5C0529">
      <w:pPr>
        <w:pStyle w:val="77"/>
        <w:rPr>
          <w:rFonts w:hint="eastAsia" w:ascii="仿宋" w:hAnsi="仿宋" w:eastAsia="仿宋"/>
        </w:rPr>
      </w:pPr>
      <w:r>
        <w:rPr>
          <w:rFonts w:hint="eastAsia" w:ascii="仿宋" w:hAnsi="仿宋" w:eastAsia="仿宋"/>
        </w:rPr>
        <w:t>施工准备期间，在参照有关设计图的同时，积极会同当地政府和管理部门共同协商拆迁、便道、便桥、临时房屋等工作，为保证施工进度的顺利进行，须提前积极做好各项准备工作，保证各项准备工作准确、高效的开展，为工程大规模施工打下良好基础。</w:t>
      </w:r>
    </w:p>
    <w:sectPr>
      <w:type w:val="continuous"/>
      <w:pgSz w:w="23814" w:h="16840" w:orient="landscape"/>
      <w:pgMar w:top="1701" w:right="1701" w:bottom="1418" w:left="2268" w:header="1134" w:footer="1508" w:gutter="0"/>
      <w:cols w:space="425" w:num="2"/>
      <w:docGrid w:linePitch="479" w:charSpace="71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宋体">
    <w:panose1 w:val="02010600030101010101"/>
    <w:charset w:val="86"/>
    <w:family w:val="auto"/>
    <w:pitch w:val="default"/>
    <w:sig w:usb0="00000203" w:usb1="288F0000" w:usb2="00000006" w:usb3="00000000" w:csb0="00040001"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隶书">
    <w:altName w:val="微软雅黑"/>
    <w:panose1 w:val="0201050906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Segoe UI Symbol">
    <w:panose1 w:val="020B0502040204020203"/>
    <w:charset w:val="00"/>
    <w:family w:val="swiss"/>
    <w:pitch w:val="default"/>
    <w:sig w:usb0="800001E3" w:usb1="1200FFEF" w:usb2="00040000" w:usb3="04000000" w:csb0="00000001" w:csb1="4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C11F6">
    <w:pPr>
      <w:pStyle w:val="20"/>
      <w:framePr w:wrap="around" w:vAnchor="text" w:hAnchor="page" w:x="21361" w:y="292"/>
      <w:rPr>
        <w:rStyle w:val="32"/>
        <w:rFonts w:ascii="隶书" w:eastAsia="隶书"/>
        <w:b/>
        <w:sz w:val="24"/>
        <w:szCs w:val="24"/>
      </w:rPr>
    </w:pPr>
    <w:r>
      <w:rPr>
        <w:rFonts w:ascii="宋体" w:hAnsi="宋体" w:eastAsia="宋体"/>
        <w:sz w:val="20"/>
      </w:rPr>
      <w:fldChar w:fldCharType="begin"/>
    </w:r>
    <w:r>
      <w:rPr>
        <w:rFonts w:ascii="宋体" w:hAnsi="宋体" w:eastAsia="宋体"/>
        <w:sz w:val="20"/>
      </w:rPr>
      <w:instrText xml:space="preserve">PAGE   \* MERGEFORMAT</w:instrText>
    </w:r>
    <w:r>
      <w:rPr>
        <w:rFonts w:ascii="宋体" w:hAnsi="宋体" w:eastAsia="宋体"/>
        <w:sz w:val="20"/>
      </w:rPr>
      <w:fldChar w:fldCharType="separate"/>
    </w:r>
    <w:r>
      <w:rPr>
        <w:rFonts w:ascii="宋体" w:hAnsi="宋体" w:eastAsia="宋体"/>
        <w:sz w:val="20"/>
      </w:rPr>
      <w:t>7</w:t>
    </w:r>
    <w:r>
      <w:rPr>
        <w:rFonts w:ascii="宋体" w:hAnsi="宋体" w:eastAsia="宋体"/>
        <w:sz w:val="20"/>
      </w:rPr>
      <w:fldChar w:fldCharType="end"/>
    </w:r>
    <w:r>
      <w:rPr>
        <w:rFonts w:ascii="宋体" w:hAnsi="宋体" w:eastAsia="宋体"/>
        <w:sz w:val="20"/>
      </w:rPr>
      <w:t xml:space="preserve"> </w:t>
    </w:r>
  </w:p>
  <w:p w14:paraId="6279B646">
    <w:pPr>
      <w:pStyle w:val="20"/>
      <w:framePr w:wrap="around" w:vAnchor="text" w:hAnchor="page" w:x="2081" w:y="312"/>
      <w:rPr>
        <w:rStyle w:val="32"/>
        <w:rFonts w:hint="eastAsia" w:ascii="仿宋" w:hAnsi="仿宋" w:eastAsia="仿宋"/>
        <w:b/>
        <w:sz w:val="24"/>
        <w:szCs w:val="24"/>
      </w:rPr>
    </w:pPr>
    <w:r>
      <w:rPr>
        <w:rFonts w:ascii="宋体" w:hAnsi="宋体" w:eastAsia="宋体"/>
        <w:sz w:val="20"/>
      </w:rPr>
      <w:t xml:space="preserve"> </w:t>
    </w:r>
  </w:p>
  <w:p w14:paraId="72528633">
    <w:pPr>
      <w:pStyle w:val="20"/>
    </w:pPr>
    <w:r>
      <w:rPr>
        <w:sz w:val="20"/>
      </w:rPr>
      <mc:AlternateContent>
        <mc:Choice Requires="wps">
          <w:drawing>
            <wp:anchor distT="0" distB="0" distL="114300" distR="114300" simplePos="0" relativeHeight="251659264" behindDoc="0" locked="0" layoutInCell="1" allowOverlap="1">
              <wp:simplePos x="0" y="0"/>
              <wp:positionH relativeFrom="column">
                <wp:posOffset>-101600</wp:posOffset>
              </wp:positionH>
              <wp:positionV relativeFrom="paragraph">
                <wp:posOffset>100330</wp:posOffset>
              </wp:positionV>
              <wp:extent cx="12959715" cy="0"/>
              <wp:effectExtent l="22225" t="24130" r="19685" b="23495"/>
              <wp:wrapNone/>
              <wp:docPr id="1216089675" name="Line 1"/>
              <wp:cNvGraphicFramePr/>
              <a:graphic xmlns:a="http://schemas.openxmlformats.org/drawingml/2006/main">
                <a:graphicData uri="http://schemas.microsoft.com/office/word/2010/wordprocessingShape">
                  <wps:wsp>
                    <wps:cNvCnPr>
                      <a:cxnSpLocks noChangeShapeType="1"/>
                    </wps:cNvCnPr>
                    <wps:spPr bwMode="auto">
                      <a:xfrm>
                        <a:off x="0" y="0"/>
                        <a:ext cx="12959715" cy="0"/>
                      </a:xfrm>
                      <a:prstGeom prst="line">
                        <a:avLst/>
                      </a:prstGeom>
                      <a:noFill/>
                      <a:ln w="38100" cmpd="dbl">
                        <a:solidFill>
                          <a:srgbClr val="000000"/>
                        </a:solidFill>
                        <a:round/>
                      </a:ln>
                    </wps:spPr>
                    <wps:bodyPr/>
                  </wps:wsp>
                </a:graphicData>
              </a:graphic>
            </wp:anchor>
          </w:drawing>
        </mc:Choice>
        <mc:Fallback>
          <w:pict>
            <v:line id="Line 1" o:spid="_x0000_s1026" o:spt="20" style="position:absolute;left:0pt;margin-left:-8pt;margin-top:7.9pt;height:0pt;width:1020.45pt;z-index:251659264;mso-width-relative:page;mso-height-relative:page;" filled="f" stroked="t" coordsize="21600,21600" o:gfxdata="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BIqGjLXAAAACgEAAA8AAAAAAAAA&#10;AQAgAAAAIgAAAGRycy9kb3ducmV2LnhtbFBLAQIUABQAAAAIAIdO4kAr2DSm2QEAALUDAAAOAAAA&#10;AAAAAAEAIAAAACYBAABkcnMvZTJvRG9jLnhtbFBLBQYAAAAABgAGAFkBAABxBQAAAAA=&#10;">
              <v:fill on="f" focussize="0,0"/>
              <v:stroke weight="3pt" color="#000000" linestyle="thinThin" joinstyle="round"/>
              <v:imagedata o:title=""/>
              <o:lock v:ext="edit" aspectratio="f"/>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2CC94">
    <w:pPr>
      <w:pStyle w:val="20"/>
      <w:framePr w:wrap="around" w:vAnchor="text" w:hAnchor="margin" w:xAlign="center" w:y="1"/>
      <w:rPr>
        <w:rStyle w:val="32"/>
      </w:rPr>
    </w:pPr>
    <w:r>
      <w:rPr>
        <w:rStyle w:val="32"/>
      </w:rPr>
      <w:fldChar w:fldCharType="begin"/>
    </w:r>
    <w:r>
      <w:rPr>
        <w:rStyle w:val="32"/>
      </w:rPr>
      <w:instrText xml:space="preserve">PAGE  </w:instrText>
    </w:r>
    <w:r>
      <w:rPr>
        <w:rStyle w:val="32"/>
      </w:rPr>
      <w:fldChar w:fldCharType="end"/>
    </w:r>
  </w:p>
  <w:p w14:paraId="03EF19DF">
    <w:pPr>
      <w:pStyle w:val="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6DC9F">
    <w:pPr>
      <w:pStyle w:val="21"/>
      <w:jc w:val="left"/>
      <w:rPr>
        <w:rFonts w:hint="eastAsia" w:ascii="仿宋" w:hAnsi="仿宋" w:eastAsia="仿宋"/>
        <w:b/>
        <w:sz w:val="24"/>
        <w:szCs w:val="24"/>
      </w:rPr>
    </w:pPr>
    <w:r>
      <w:rPr>
        <w:rFonts w:hint="eastAsia" w:ascii="仿宋" w:hAnsi="仿宋" w:eastAsia="仿宋"/>
        <w:b/>
        <w:sz w:val="21"/>
        <w:szCs w:val="21"/>
      </w:rPr>
      <w:t>马鹿沟镇梨树沟村、农场村水毁基础设施维修建设项目(Y005长二线、C088长小线）</w:t>
    </w:r>
    <w:r>
      <w:rPr>
        <w:rFonts w:ascii="仿宋" w:hAnsi="仿宋" w:eastAsia="仿宋"/>
        <w:b/>
        <w:sz w:val="20"/>
      </w:rPr>
      <w:t xml:space="preserve">                                                                          </w:t>
    </w:r>
    <w:r>
      <w:rPr>
        <w:rFonts w:hint="eastAsia" w:ascii="仿宋" w:hAnsi="仿宋" w:eastAsia="仿宋"/>
        <w:b/>
        <w:sz w:val="20"/>
        <w:lang w:val="en-US" w:eastAsia="zh-CN"/>
      </w:rPr>
      <w:t xml:space="preserve">                                        </w:t>
    </w:r>
    <w:r>
      <w:rPr>
        <w:rFonts w:ascii="仿宋" w:hAnsi="仿宋" w:eastAsia="仿宋"/>
        <w:b/>
        <w:sz w:val="20"/>
      </w:rPr>
      <w:t xml:space="preserve"> </w:t>
    </w:r>
    <w:r>
      <w:rPr>
        <w:rFonts w:hint="eastAsia" w:ascii="仿宋" w:hAnsi="仿宋" w:eastAsia="仿宋"/>
        <w:b/>
        <w:sz w:val="20"/>
      </w:rPr>
      <w:t>S</w:t>
    </w:r>
    <w:r>
      <w:rPr>
        <w:rFonts w:ascii="仿宋" w:hAnsi="仿宋" w:eastAsia="仿宋"/>
        <w:b/>
        <w:sz w:val="20"/>
      </w:rPr>
      <w:t>1</w:t>
    </w:r>
    <w:r>
      <w:rPr>
        <w:rFonts w:hint="eastAsia" w:ascii="仿宋" w:hAnsi="仿宋" w:eastAsia="仿宋"/>
        <w:b/>
        <w:sz w:val="20"/>
      </w:rPr>
      <w:t>-</w:t>
    </w:r>
    <w:r>
      <w:rPr>
        <w:rFonts w:ascii="仿宋" w:hAnsi="仿宋" w:eastAsia="仿宋"/>
        <w:b/>
        <w:sz w:val="20"/>
      </w:rPr>
      <w:t>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271C79"/>
    <w:multiLevelType w:val="multilevel"/>
    <w:tmpl w:val="0A271C79"/>
    <w:lvl w:ilvl="0" w:tentative="0">
      <w:start w:val="1"/>
      <w:numFmt w:val="chineseCountingThousand"/>
      <w:pStyle w:val="206"/>
      <w:suff w:val="nothing"/>
      <w:lvlText w:val="%1、"/>
      <w:lvlJc w:val="left"/>
      <w:pPr>
        <w:ind w:left="0" w:firstLine="0"/>
      </w:pPr>
      <w:rPr>
        <w:rFonts w:hint="eastAsia" w:ascii="仿宋" w:eastAsia="仿宋"/>
        <w:b/>
        <w:i w:val="0"/>
        <w:sz w:val="28"/>
      </w:rPr>
    </w:lvl>
    <w:lvl w:ilvl="1" w:tentative="0">
      <w:start w:val="1"/>
      <w:numFmt w:val="decimal"/>
      <w:isLgl/>
      <w:suff w:val="space"/>
      <w:lvlText w:val="%1.%2"/>
      <w:lvlJc w:val="left"/>
      <w:pPr>
        <w:ind w:left="0" w:firstLine="0"/>
      </w:pPr>
      <w:rPr>
        <w:rFonts w:hint="eastAsia" w:ascii="仿宋" w:eastAsia="仿宋"/>
        <w:b/>
        <w:i w:val="0"/>
        <w:sz w:val="24"/>
      </w:rPr>
    </w:lvl>
    <w:lvl w:ilvl="2" w:tentative="0">
      <w:start w:val="1"/>
      <w:numFmt w:val="decimal"/>
      <w:lvlText w:val="%1.%2.%3"/>
      <w:lvlJc w:val="left"/>
      <w:pPr>
        <w:ind w:left="850" w:firstLine="0"/>
      </w:pPr>
      <w:rPr>
        <w:rFonts w:hint="eastAsia"/>
      </w:rPr>
    </w:lvl>
    <w:lvl w:ilvl="3" w:tentative="0">
      <w:start w:val="1"/>
      <w:numFmt w:val="decimal"/>
      <w:lvlText w:val="%1.%2.%3.%4"/>
      <w:lvlJc w:val="left"/>
      <w:pPr>
        <w:ind w:left="1275" w:firstLine="0"/>
      </w:pPr>
      <w:rPr>
        <w:rFonts w:hint="eastAsia"/>
      </w:rPr>
    </w:lvl>
    <w:lvl w:ilvl="4" w:tentative="0">
      <w:start w:val="1"/>
      <w:numFmt w:val="decimal"/>
      <w:lvlText w:val="%1.%2.%3.%4.%5"/>
      <w:lvlJc w:val="left"/>
      <w:pPr>
        <w:ind w:left="1700" w:firstLine="0"/>
      </w:pPr>
      <w:rPr>
        <w:rFonts w:hint="eastAsia"/>
      </w:rPr>
    </w:lvl>
    <w:lvl w:ilvl="5" w:tentative="0">
      <w:start w:val="1"/>
      <w:numFmt w:val="decimal"/>
      <w:lvlText w:val="%1.%2.%3.%4.%5.%6"/>
      <w:lvlJc w:val="left"/>
      <w:pPr>
        <w:ind w:left="2125" w:firstLine="0"/>
      </w:pPr>
      <w:rPr>
        <w:rFonts w:hint="eastAsia"/>
      </w:rPr>
    </w:lvl>
    <w:lvl w:ilvl="6" w:tentative="0">
      <w:start w:val="1"/>
      <w:numFmt w:val="decimal"/>
      <w:lvlText w:val="%1.%2.%3.%4.%5.%6.%7"/>
      <w:lvlJc w:val="left"/>
      <w:pPr>
        <w:ind w:left="2550" w:firstLine="0"/>
      </w:pPr>
      <w:rPr>
        <w:rFonts w:hint="eastAsia"/>
      </w:rPr>
    </w:lvl>
    <w:lvl w:ilvl="7" w:tentative="0">
      <w:start w:val="1"/>
      <w:numFmt w:val="decimal"/>
      <w:lvlText w:val="%1.%2.%3.%4.%5.%6.%7.%8"/>
      <w:lvlJc w:val="left"/>
      <w:pPr>
        <w:ind w:left="2975" w:firstLine="0"/>
      </w:pPr>
      <w:rPr>
        <w:rFonts w:hint="eastAsia"/>
      </w:rPr>
    </w:lvl>
    <w:lvl w:ilvl="8" w:tentative="0">
      <w:start w:val="1"/>
      <w:numFmt w:val="decimal"/>
      <w:lvlText w:val="%1.%2.%3.%4.%5.%6.%7.%8.%9"/>
      <w:lvlJc w:val="left"/>
      <w:pPr>
        <w:ind w:left="3400" w:firstLine="0"/>
      </w:pPr>
      <w:rPr>
        <w:rFonts w:hint="eastAsia"/>
      </w:rPr>
    </w:lvl>
  </w:abstractNum>
  <w:abstractNum w:abstractNumId="1">
    <w:nsid w:val="1DBF583A"/>
    <w:multiLevelType w:val="multilevel"/>
    <w:tmpl w:val="1DBF583A"/>
    <w:lvl w:ilvl="0" w:tentative="0">
      <w:start w:val="1"/>
      <w:numFmt w:val="decimal"/>
      <w:pStyle w:val="189"/>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2">
    <w:nsid w:val="1FC91163"/>
    <w:multiLevelType w:val="multilevel"/>
    <w:tmpl w:val="1FC91163"/>
    <w:lvl w:ilvl="0" w:tentative="0">
      <w:start w:val="1"/>
      <w:numFmt w:val="decimal"/>
      <w:pStyle w:val="19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92"/>
      <w:suff w:val="nothing"/>
      <w:lvlText w:val="%1.%2　"/>
      <w:lvlJc w:val="left"/>
      <w:pPr>
        <w:ind w:left="284"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194"/>
      <w:suff w:val="nothing"/>
      <w:lvlText w:val="%1.%2.%3　"/>
      <w:lvlJc w:val="left"/>
      <w:pPr>
        <w:ind w:left="567" w:firstLine="0"/>
      </w:pPr>
      <w:rPr>
        <w:rFonts w:hint="eastAsia" w:ascii="黑体" w:hAnsi="Times New Roman" w:eastAsia="黑体"/>
        <w:b w:val="0"/>
        <w:i w:val="0"/>
        <w:sz w:val="21"/>
      </w:rPr>
    </w:lvl>
    <w:lvl w:ilvl="3" w:tentative="0">
      <w:start w:val="1"/>
      <w:numFmt w:val="decimal"/>
      <w:pStyle w:val="195"/>
      <w:suff w:val="nothing"/>
      <w:lvlText w:val="%4)"/>
      <w:lvlJc w:val="left"/>
      <w:pPr>
        <w:ind w:left="426" w:firstLine="0"/>
      </w:pPr>
      <w:rPr>
        <w:rFonts w:ascii="Times New Roman" w:hAnsi="Times New Roman" w:eastAsia="宋体" w:cs="Times New Roman"/>
        <w:b w:val="0"/>
        <w:i w:val="0"/>
        <w:sz w:val="21"/>
      </w:rPr>
    </w:lvl>
    <w:lvl w:ilvl="4" w:tentative="0">
      <w:start w:val="1"/>
      <w:numFmt w:val="decimal"/>
      <w:pStyle w:val="196"/>
      <w:suff w:val="nothing"/>
      <w:lvlText w:val="%1.%2.%3.%4.%5　"/>
      <w:lvlJc w:val="left"/>
      <w:pPr>
        <w:ind w:left="6096" w:firstLine="0"/>
      </w:pPr>
      <w:rPr>
        <w:rFonts w:hint="eastAsia" w:ascii="黑体" w:hAnsi="Times New Roman" w:eastAsia="黑体"/>
        <w:b w:val="0"/>
        <w:i w:val="0"/>
        <w:sz w:val="21"/>
      </w:rPr>
    </w:lvl>
    <w:lvl w:ilvl="5" w:tentative="0">
      <w:start w:val="1"/>
      <w:numFmt w:val="decimal"/>
      <w:pStyle w:val="197"/>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44C50F90"/>
    <w:multiLevelType w:val="multilevel"/>
    <w:tmpl w:val="44C50F90"/>
    <w:lvl w:ilvl="0" w:tentative="0">
      <w:start w:val="1"/>
      <w:numFmt w:val="decimal"/>
      <w:pStyle w:val="188"/>
      <w:lvlText w:val="%1)"/>
      <w:lvlJc w:val="left"/>
      <w:pPr>
        <w:tabs>
          <w:tab w:val="left" w:pos="839"/>
        </w:tabs>
        <w:ind w:left="839" w:hanging="419"/>
      </w:pPr>
      <w:rPr>
        <w:rFonts w:ascii="宋体" w:hAnsi="Times New Roman" w:eastAsia="宋体" w:cs="Times New Roman"/>
        <w:b w:val="0"/>
        <w:i w:val="0"/>
        <w:sz w:val="20"/>
        <w:szCs w:val="21"/>
      </w:rPr>
    </w:lvl>
    <w:lvl w:ilvl="1" w:tentative="0">
      <w:start w:val="1"/>
      <w:numFmt w:val="decimal"/>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4">
    <w:nsid w:val="4AE62ECE"/>
    <w:multiLevelType w:val="multilevel"/>
    <w:tmpl w:val="4AE62ECE"/>
    <w:lvl w:ilvl="0" w:tentative="0">
      <w:start w:val="1"/>
      <w:numFmt w:val="decimal"/>
      <w:suff w:val="nothing"/>
      <w:lvlText w:val="%1、"/>
      <w:lvlJc w:val="left"/>
      <w:pPr>
        <w:ind w:left="0" w:firstLine="480"/>
      </w:pPr>
      <w:rPr>
        <w:rFonts w:hint="default" w:ascii="Times New Roman" w:hAnsi="Times New Roman" w:eastAsia="仿宋"/>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646260FA"/>
    <w:multiLevelType w:val="multilevel"/>
    <w:tmpl w:val="646260FA"/>
    <w:lvl w:ilvl="0" w:tentative="0">
      <w:start w:val="1"/>
      <w:numFmt w:val="decimal"/>
      <w:pStyle w:val="190"/>
      <w:suff w:val="nothing"/>
      <w:lvlText w:val="表%1　"/>
      <w:lvlJc w:val="left"/>
      <w:pPr>
        <w:ind w:left="2410" w:firstLine="0"/>
      </w:pPr>
      <w:rPr>
        <w:rFonts w:hint="eastAsia" w:ascii="黑体" w:hAnsi="Times New Roman" w:eastAsia="黑体"/>
        <w:b w:val="0"/>
        <w:i w:val="0"/>
        <w:sz w:val="20"/>
      </w:rPr>
    </w:lvl>
    <w:lvl w:ilvl="1" w:tentative="0">
      <w:start w:val="1"/>
      <w:numFmt w:val="decimal"/>
      <w:lvlText w:val="%1.%2"/>
      <w:lvlJc w:val="left"/>
      <w:pPr>
        <w:tabs>
          <w:tab w:val="left" w:pos="283"/>
        </w:tabs>
        <w:ind w:left="283" w:hanging="567"/>
      </w:pPr>
      <w:rPr>
        <w:rFonts w:hint="eastAsia"/>
      </w:rPr>
    </w:lvl>
    <w:lvl w:ilvl="2" w:tentative="0">
      <w:start w:val="1"/>
      <w:numFmt w:val="decimal"/>
      <w:lvlText w:val="%1.%2.%3"/>
      <w:lvlJc w:val="left"/>
      <w:pPr>
        <w:tabs>
          <w:tab w:val="left" w:pos="709"/>
        </w:tabs>
        <w:ind w:left="709" w:hanging="567"/>
      </w:pPr>
      <w:rPr>
        <w:rFonts w:hint="eastAsia"/>
      </w:rPr>
    </w:lvl>
    <w:lvl w:ilvl="3" w:tentative="0">
      <w:start w:val="1"/>
      <w:numFmt w:val="decimal"/>
      <w:lvlText w:val="%1.%2.%3.%4"/>
      <w:lvlJc w:val="left"/>
      <w:pPr>
        <w:tabs>
          <w:tab w:val="left" w:pos="1275"/>
        </w:tabs>
        <w:ind w:left="1275" w:hanging="708"/>
      </w:pPr>
      <w:rPr>
        <w:rFonts w:hint="eastAsia"/>
      </w:rPr>
    </w:lvl>
    <w:lvl w:ilvl="4" w:tentative="0">
      <w:start w:val="1"/>
      <w:numFmt w:val="decimal"/>
      <w:lvlText w:val="%1.%2.%3.%4.%5"/>
      <w:lvlJc w:val="left"/>
      <w:pPr>
        <w:tabs>
          <w:tab w:val="left" w:pos="1842"/>
        </w:tabs>
        <w:ind w:left="1842" w:hanging="850"/>
      </w:pPr>
      <w:rPr>
        <w:rFonts w:hint="eastAsia"/>
      </w:rPr>
    </w:lvl>
    <w:lvl w:ilvl="5" w:tentative="0">
      <w:start w:val="1"/>
      <w:numFmt w:val="decimal"/>
      <w:lvlText w:val="%1.%2.%3.%4.%5.%6"/>
      <w:lvlJc w:val="left"/>
      <w:pPr>
        <w:tabs>
          <w:tab w:val="left" w:pos="2551"/>
        </w:tabs>
        <w:ind w:left="2551" w:hanging="1134"/>
      </w:pPr>
      <w:rPr>
        <w:rFonts w:hint="eastAsia"/>
      </w:rPr>
    </w:lvl>
    <w:lvl w:ilvl="6" w:tentative="0">
      <w:start w:val="1"/>
      <w:numFmt w:val="decimal"/>
      <w:lvlText w:val="%1.%2.%3.%4.%5.%6.%7"/>
      <w:lvlJc w:val="left"/>
      <w:pPr>
        <w:tabs>
          <w:tab w:val="left" w:pos="3118"/>
        </w:tabs>
        <w:ind w:left="3118" w:hanging="1276"/>
      </w:pPr>
      <w:rPr>
        <w:rFonts w:hint="eastAsia"/>
      </w:rPr>
    </w:lvl>
    <w:lvl w:ilvl="7" w:tentative="0">
      <w:start w:val="1"/>
      <w:numFmt w:val="decimal"/>
      <w:lvlText w:val="%1.%2.%3.%4.%5.%6.%7.%8"/>
      <w:lvlJc w:val="left"/>
      <w:pPr>
        <w:tabs>
          <w:tab w:val="left" w:pos="3685"/>
        </w:tabs>
        <w:ind w:left="3685" w:hanging="1418"/>
      </w:pPr>
      <w:rPr>
        <w:rFonts w:hint="eastAsia"/>
      </w:rPr>
    </w:lvl>
    <w:lvl w:ilvl="8" w:tentative="0">
      <w:start w:val="1"/>
      <w:numFmt w:val="decimal"/>
      <w:lvlText w:val="%1.%2.%3.%4.%5.%6.%7.%8.%9"/>
      <w:lvlJc w:val="left"/>
      <w:pPr>
        <w:tabs>
          <w:tab w:val="left" w:pos="4393"/>
        </w:tabs>
        <w:ind w:left="4393" w:hanging="1700"/>
      </w:pPr>
      <w:rPr>
        <w:rFonts w:hint="eastAsia"/>
      </w:rPr>
    </w:lvl>
  </w:abstractNum>
  <w:num w:numId="1">
    <w:abstractNumId w:val="3"/>
  </w:num>
  <w:num w:numId="2">
    <w:abstractNumId w:val="1"/>
  </w:num>
  <w:num w:numId="3">
    <w:abstractNumId w:val="5"/>
  </w:num>
  <w:num w:numId="4">
    <w:abstractNumId w:val="2"/>
  </w:num>
  <w:num w:numId="5">
    <w:abstractNumId w:val="0"/>
  </w:num>
  <w:num w:numId="6">
    <w:abstractNumId w:val="0"/>
    <w:lvlOverride w:ilvl="0">
      <w:lvl w:ilvl="0" w:tentative="1">
        <w:start w:val="1"/>
        <w:numFmt w:val="chineseCountingThousand"/>
        <w:suff w:val="nothing"/>
        <w:lvlText w:val="%1、"/>
        <w:lvlJc w:val="left"/>
        <w:pPr>
          <w:ind w:left="0" w:firstLine="0"/>
        </w:pPr>
        <w:rPr>
          <w:rFonts w:hint="eastAsia" w:ascii="仿宋" w:eastAsia="仿宋"/>
          <w:b/>
          <w:i w:val="0"/>
          <w:sz w:val="28"/>
        </w:rPr>
      </w:lvl>
    </w:lvlOverride>
    <w:lvlOverride w:ilvl="1">
      <w:lvl w:ilvl="1" w:tentative="1">
        <w:start w:val="1"/>
        <w:numFmt w:val="decimal"/>
        <w:pStyle w:val="207"/>
        <w:isLgl/>
        <w:suff w:val="space"/>
        <w:lvlText w:val="%1.%2"/>
        <w:lvlJc w:val="left"/>
        <w:pPr>
          <w:ind w:left="0" w:firstLine="0"/>
        </w:pPr>
        <w:rPr>
          <w:rFonts w:hint="eastAsia" w:ascii="仿宋" w:eastAsia="仿宋"/>
          <w:b/>
          <w:i w:val="0"/>
          <w:sz w:val="24"/>
        </w:rPr>
      </w:lvl>
    </w:lvlOverride>
    <w:lvlOverride w:ilvl="2">
      <w:lvl w:ilvl="2" w:tentative="1">
        <w:start w:val="1"/>
        <w:numFmt w:val="decimal"/>
        <w:lvlText w:val="%1.%2.%3"/>
        <w:lvlJc w:val="left"/>
        <w:pPr>
          <w:ind w:left="850" w:firstLine="0"/>
        </w:pPr>
        <w:rPr>
          <w:rFonts w:hint="eastAsia"/>
        </w:rPr>
      </w:lvl>
    </w:lvlOverride>
    <w:lvlOverride w:ilvl="3">
      <w:lvl w:ilvl="3" w:tentative="1">
        <w:start w:val="1"/>
        <w:numFmt w:val="decimal"/>
        <w:lvlText w:val="%1.%2.%3.%4"/>
        <w:lvlJc w:val="left"/>
        <w:pPr>
          <w:ind w:left="1275" w:firstLine="0"/>
        </w:pPr>
        <w:rPr>
          <w:rFonts w:hint="eastAsia"/>
        </w:rPr>
      </w:lvl>
    </w:lvlOverride>
    <w:lvlOverride w:ilvl="4">
      <w:lvl w:ilvl="4" w:tentative="1">
        <w:start w:val="1"/>
        <w:numFmt w:val="decimal"/>
        <w:lvlText w:val="%1.%2.%3.%4.%5"/>
        <w:lvlJc w:val="left"/>
        <w:pPr>
          <w:ind w:left="1700" w:firstLine="0"/>
        </w:pPr>
        <w:rPr>
          <w:rFonts w:hint="eastAsia"/>
        </w:rPr>
      </w:lvl>
    </w:lvlOverride>
    <w:lvlOverride w:ilvl="5">
      <w:lvl w:ilvl="5" w:tentative="1">
        <w:start w:val="1"/>
        <w:numFmt w:val="decimal"/>
        <w:lvlText w:val="%1.%2.%3.%4.%5.%6"/>
        <w:lvlJc w:val="left"/>
        <w:pPr>
          <w:ind w:left="2125" w:firstLine="0"/>
        </w:pPr>
        <w:rPr>
          <w:rFonts w:hint="eastAsia"/>
        </w:rPr>
      </w:lvl>
    </w:lvlOverride>
    <w:lvlOverride w:ilvl="6">
      <w:lvl w:ilvl="6" w:tentative="1">
        <w:start w:val="1"/>
        <w:numFmt w:val="decimal"/>
        <w:lvlText w:val="%1.%2.%3.%4.%5.%6.%7"/>
        <w:lvlJc w:val="left"/>
        <w:pPr>
          <w:ind w:left="2550" w:firstLine="0"/>
        </w:pPr>
        <w:rPr>
          <w:rFonts w:hint="eastAsia"/>
        </w:rPr>
      </w:lvl>
    </w:lvlOverride>
    <w:lvlOverride w:ilvl="7">
      <w:lvl w:ilvl="7" w:tentative="1">
        <w:start w:val="1"/>
        <w:numFmt w:val="decimal"/>
        <w:lvlText w:val="%1.%2.%3.%4.%5.%6.%7.%8"/>
        <w:lvlJc w:val="left"/>
        <w:pPr>
          <w:ind w:left="2975" w:firstLine="0"/>
        </w:pPr>
        <w:rPr>
          <w:rFonts w:hint="eastAsia"/>
        </w:rPr>
      </w:lvl>
    </w:lvlOverride>
    <w:lvlOverride w:ilvl="8">
      <w:lvl w:ilvl="8" w:tentative="1">
        <w:start w:val="1"/>
        <w:numFmt w:val="decimal"/>
        <w:lvlText w:val="%1.%2.%3.%4.%5.%6.%7.%8.%9"/>
        <w:lvlJc w:val="left"/>
        <w:pPr>
          <w:ind w:left="3400" w:firstLine="0"/>
        </w:pPr>
        <w:rPr>
          <w:rFonts w:hint="eastAsia"/>
        </w:rPr>
      </w:lvl>
    </w:lvlOverride>
  </w:num>
  <w:num w:numId="7">
    <w:abstractNumId w:val="0"/>
    <w:lvlOverride w:ilvl="0">
      <w:lvl w:ilvl="0" w:tentative="1">
        <w:start w:val="1"/>
        <w:numFmt w:val="chineseCountingThousand"/>
        <w:suff w:val="nothing"/>
        <w:lvlText w:val="%1、"/>
        <w:lvlJc w:val="left"/>
        <w:pPr>
          <w:ind w:left="0" w:firstLine="0"/>
        </w:pPr>
        <w:rPr>
          <w:rFonts w:hint="eastAsia" w:ascii="仿宋" w:eastAsia="仿宋"/>
          <w:b/>
          <w:i w:val="0"/>
          <w:sz w:val="28"/>
        </w:rPr>
      </w:lvl>
    </w:lvlOverride>
    <w:lvlOverride w:ilvl="1">
      <w:lvl w:ilvl="1" w:tentative="1">
        <w:start w:val="1"/>
        <w:numFmt w:val="decimal"/>
        <w:isLgl/>
        <w:suff w:val="space"/>
        <w:lvlText w:val="%1.%2"/>
        <w:lvlJc w:val="left"/>
        <w:pPr>
          <w:ind w:left="0" w:firstLine="0"/>
        </w:pPr>
        <w:rPr>
          <w:rFonts w:hint="eastAsia" w:ascii="仿宋" w:eastAsia="仿宋"/>
          <w:b/>
          <w:i w:val="0"/>
          <w:sz w:val="24"/>
        </w:rPr>
      </w:lvl>
    </w:lvlOverride>
    <w:lvlOverride w:ilvl="2">
      <w:lvl w:ilvl="2" w:tentative="1">
        <w:start w:val="1"/>
        <w:numFmt w:val="decimal"/>
        <w:pStyle w:val="208"/>
        <w:isLgl/>
        <w:suff w:val="space"/>
        <w:lvlText w:val="%1.%2.%3"/>
        <w:lvlJc w:val="left"/>
        <w:pPr>
          <w:ind w:left="0" w:firstLine="0"/>
        </w:pPr>
        <w:rPr>
          <w:rFonts w:hint="eastAsia"/>
        </w:rPr>
      </w:lvl>
    </w:lvlOverride>
    <w:lvlOverride w:ilvl="3">
      <w:lvl w:ilvl="3" w:tentative="1">
        <w:start w:val="1"/>
        <w:numFmt w:val="decimal"/>
        <w:lvlText w:val="%1.%2.%3.%4"/>
        <w:lvlJc w:val="left"/>
        <w:pPr>
          <w:ind w:left="1275" w:firstLine="0"/>
        </w:pPr>
        <w:rPr>
          <w:rFonts w:hint="eastAsia"/>
        </w:rPr>
      </w:lvl>
    </w:lvlOverride>
    <w:lvlOverride w:ilvl="4">
      <w:lvl w:ilvl="4" w:tentative="1">
        <w:start w:val="1"/>
        <w:numFmt w:val="decimal"/>
        <w:lvlText w:val="%1.%2.%3.%4.%5"/>
        <w:lvlJc w:val="left"/>
        <w:pPr>
          <w:ind w:left="1700" w:firstLine="0"/>
        </w:pPr>
        <w:rPr>
          <w:rFonts w:hint="eastAsia"/>
        </w:rPr>
      </w:lvl>
    </w:lvlOverride>
    <w:lvlOverride w:ilvl="5">
      <w:lvl w:ilvl="5" w:tentative="1">
        <w:start w:val="1"/>
        <w:numFmt w:val="decimal"/>
        <w:lvlText w:val="%1.%2.%3.%4.%5.%6"/>
        <w:lvlJc w:val="left"/>
        <w:pPr>
          <w:ind w:left="2125" w:firstLine="0"/>
        </w:pPr>
        <w:rPr>
          <w:rFonts w:hint="eastAsia"/>
        </w:rPr>
      </w:lvl>
    </w:lvlOverride>
    <w:lvlOverride w:ilvl="6">
      <w:lvl w:ilvl="6" w:tentative="1">
        <w:start w:val="1"/>
        <w:numFmt w:val="decimal"/>
        <w:lvlText w:val="%1.%2.%3.%4.%5.%6.%7"/>
        <w:lvlJc w:val="left"/>
        <w:pPr>
          <w:ind w:left="2550" w:firstLine="0"/>
        </w:pPr>
        <w:rPr>
          <w:rFonts w:hint="eastAsia"/>
        </w:rPr>
      </w:lvl>
    </w:lvlOverride>
    <w:lvlOverride w:ilvl="7">
      <w:lvl w:ilvl="7" w:tentative="1">
        <w:start w:val="1"/>
        <w:numFmt w:val="decimal"/>
        <w:lvlText w:val="%1.%2.%3.%4.%5.%6.%7.%8"/>
        <w:lvlJc w:val="left"/>
        <w:pPr>
          <w:ind w:left="2975" w:firstLine="0"/>
        </w:pPr>
        <w:rPr>
          <w:rFonts w:hint="eastAsia"/>
        </w:rPr>
      </w:lvl>
    </w:lvlOverride>
    <w:lvlOverride w:ilvl="8">
      <w:lvl w:ilvl="8" w:tentative="1">
        <w:start w:val="1"/>
        <w:numFmt w:val="decimal"/>
        <w:lvlText w:val="%1.%2.%3.%4.%5.%6.%7.%8.%9"/>
        <w:lvlJc w:val="left"/>
        <w:pPr>
          <w:ind w:left="3400" w:firstLine="0"/>
        </w:pPr>
        <w:rPr>
          <w:rFonts w:hint="eastAsia"/>
        </w:rPr>
      </w:lvl>
    </w:lvlOverride>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printPostScriptOverText/>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283"/>
  <w:drawingGridVerticalSpacing w:val="479"/>
  <w:displayHorizontalDrawingGridEvery w:val="0"/>
  <w:characterSpacingControl w:val="doNotCompres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E4F"/>
    <w:rsid w:val="00000039"/>
    <w:rsid w:val="00000792"/>
    <w:rsid w:val="00000A28"/>
    <w:rsid w:val="00000CBB"/>
    <w:rsid w:val="00002ADB"/>
    <w:rsid w:val="00003CB3"/>
    <w:rsid w:val="0000402D"/>
    <w:rsid w:val="00005EE2"/>
    <w:rsid w:val="00005F83"/>
    <w:rsid w:val="00006E1B"/>
    <w:rsid w:val="00007E30"/>
    <w:rsid w:val="000101F3"/>
    <w:rsid w:val="000106F4"/>
    <w:rsid w:val="00011AAC"/>
    <w:rsid w:val="00011C35"/>
    <w:rsid w:val="00012643"/>
    <w:rsid w:val="000140C3"/>
    <w:rsid w:val="0001444B"/>
    <w:rsid w:val="00014B02"/>
    <w:rsid w:val="00017EF0"/>
    <w:rsid w:val="00017F77"/>
    <w:rsid w:val="00020468"/>
    <w:rsid w:val="000206AA"/>
    <w:rsid w:val="000216BD"/>
    <w:rsid w:val="00021966"/>
    <w:rsid w:val="00021F0C"/>
    <w:rsid w:val="0002300C"/>
    <w:rsid w:val="00023D65"/>
    <w:rsid w:val="00026431"/>
    <w:rsid w:val="0002714D"/>
    <w:rsid w:val="000272CF"/>
    <w:rsid w:val="0002750B"/>
    <w:rsid w:val="0002790C"/>
    <w:rsid w:val="00027C2D"/>
    <w:rsid w:val="000302C9"/>
    <w:rsid w:val="000304DB"/>
    <w:rsid w:val="00030A82"/>
    <w:rsid w:val="000318A2"/>
    <w:rsid w:val="00031D1C"/>
    <w:rsid w:val="00031FFA"/>
    <w:rsid w:val="000322A6"/>
    <w:rsid w:val="00032695"/>
    <w:rsid w:val="00032D44"/>
    <w:rsid w:val="00032DAC"/>
    <w:rsid w:val="00034328"/>
    <w:rsid w:val="00034807"/>
    <w:rsid w:val="00034AC2"/>
    <w:rsid w:val="000352C4"/>
    <w:rsid w:val="00035605"/>
    <w:rsid w:val="000357B6"/>
    <w:rsid w:val="00035BF2"/>
    <w:rsid w:val="00036F03"/>
    <w:rsid w:val="00037AA8"/>
    <w:rsid w:val="00037E8F"/>
    <w:rsid w:val="00040D3E"/>
    <w:rsid w:val="00041FDA"/>
    <w:rsid w:val="00042339"/>
    <w:rsid w:val="00042E4D"/>
    <w:rsid w:val="0004370E"/>
    <w:rsid w:val="00045064"/>
    <w:rsid w:val="00045E8F"/>
    <w:rsid w:val="00047FAF"/>
    <w:rsid w:val="000509D5"/>
    <w:rsid w:val="000511E8"/>
    <w:rsid w:val="00051A33"/>
    <w:rsid w:val="00053C35"/>
    <w:rsid w:val="00055DBD"/>
    <w:rsid w:val="0005666A"/>
    <w:rsid w:val="000578FC"/>
    <w:rsid w:val="00057B31"/>
    <w:rsid w:val="000608D3"/>
    <w:rsid w:val="000626DA"/>
    <w:rsid w:val="000629AA"/>
    <w:rsid w:val="00062AFF"/>
    <w:rsid w:val="00062C15"/>
    <w:rsid w:val="00066046"/>
    <w:rsid w:val="000668CE"/>
    <w:rsid w:val="000669EF"/>
    <w:rsid w:val="000700D0"/>
    <w:rsid w:val="00070299"/>
    <w:rsid w:val="000704D6"/>
    <w:rsid w:val="00070592"/>
    <w:rsid w:val="00070763"/>
    <w:rsid w:val="0007076F"/>
    <w:rsid w:val="00070EDD"/>
    <w:rsid w:val="00070FFF"/>
    <w:rsid w:val="00071A76"/>
    <w:rsid w:val="00071AC5"/>
    <w:rsid w:val="00072258"/>
    <w:rsid w:val="000724E6"/>
    <w:rsid w:val="000725EE"/>
    <w:rsid w:val="00072BA1"/>
    <w:rsid w:val="00074A53"/>
    <w:rsid w:val="00074EA5"/>
    <w:rsid w:val="0007588B"/>
    <w:rsid w:val="00075E41"/>
    <w:rsid w:val="0007600A"/>
    <w:rsid w:val="000764D0"/>
    <w:rsid w:val="000767C3"/>
    <w:rsid w:val="00076DD6"/>
    <w:rsid w:val="000771AB"/>
    <w:rsid w:val="00077A45"/>
    <w:rsid w:val="000801CE"/>
    <w:rsid w:val="000809E1"/>
    <w:rsid w:val="00080EC3"/>
    <w:rsid w:val="000814E5"/>
    <w:rsid w:val="00081526"/>
    <w:rsid w:val="0008169F"/>
    <w:rsid w:val="000821AB"/>
    <w:rsid w:val="00082A81"/>
    <w:rsid w:val="00083901"/>
    <w:rsid w:val="00083D69"/>
    <w:rsid w:val="00083FE4"/>
    <w:rsid w:val="000841BC"/>
    <w:rsid w:val="00084732"/>
    <w:rsid w:val="000847B2"/>
    <w:rsid w:val="00084AA1"/>
    <w:rsid w:val="0008519D"/>
    <w:rsid w:val="00086214"/>
    <w:rsid w:val="00086DC3"/>
    <w:rsid w:val="00087ADC"/>
    <w:rsid w:val="0009024F"/>
    <w:rsid w:val="00090D90"/>
    <w:rsid w:val="00091665"/>
    <w:rsid w:val="00091E53"/>
    <w:rsid w:val="00093AD6"/>
    <w:rsid w:val="00093CF6"/>
    <w:rsid w:val="00094253"/>
    <w:rsid w:val="000946E4"/>
    <w:rsid w:val="00094DF9"/>
    <w:rsid w:val="0009507C"/>
    <w:rsid w:val="00095AF0"/>
    <w:rsid w:val="00095E2D"/>
    <w:rsid w:val="00095F53"/>
    <w:rsid w:val="00096475"/>
    <w:rsid w:val="00096D5D"/>
    <w:rsid w:val="000A0573"/>
    <w:rsid w:val="000A0B5A"/>
    <w:rsid w:val="000A1D94"/>
    <w:rsid w:val="000A2610"/>
    <w:rsid w:val="000A3757"/>
    <w:rsid w:val="000A3D3B"/>
    <w:rsid w:val="000A3F23"/>
    <w:rsid w:val="000A44BB"/>
    <w:rsid w:val="000A674A"/>
    <w:rsid w:val="000A6C12"/>
    <w:rsid w:val="000A716C"/>
    <w:rsid w:val="000A76F2"/>
    <w:rsid w:val="000B0961"/>
    <w:rsid w:val="000B260A"/>
    <w:rsid w:val="000B3EF7"/>
    <w:rsid w:val="000B42A8"/>
    <w:rsid w:val="000B54CF"/>
    <w:rsid w:val="000B5F52"/>
    <w:rsid w:val="000B707E"/>
    <w:rsid w:val="000C0242"/>
    <w:rsid w:val="000C0BAF"/>
    <w:rsid w:val="000C0F10"/>
    <w:rsid w:val="000C1508"/>
    <w:rsid w:val="000C18B1"/>
    <w:rsid w:val="000C1C9B"/>
    <w:rsid w:val="000C22F0"/>
    <w:rsid w:val="000C2E6B"/>
    <w:rsid w:val="000C3482"/>
    <w:rsid w:val="000C3787"/>
    <w:rsid w:val="000C4D8C"/>
    <w:rsid w:val="000C517E"/>
    <w:rsid w:val="000C51F3"/>
    <w:rsid w:val="000C6265"/>
    <w:rsid w:val="000C62D4"/>
    <w:rsid w:val="000C640F"/>
    <w:rsid w:val="000C651C"/>
    <w:rsid w:val="000C69CE"/>
    <w:rsid w:val="000D0928"/>
    <w:rsid w:val="000D1195"/>
    <w:rsid w:val="000D2E10"/>
    <w:rsid w:val="000D3D4B"/>
    <w:rsid w:val="000D4EF9"/>
    <w:rsid w:val="000D52BC"/>
    <w:rsid w:val="000D5B82"/>
    <w:rsid w:val="000D615B"/>
    <w:rsid w:val="000D72CD"/>
    <w:rsid w:val="000D7600"/>
    <w:rsid w:val="000D79D9"/>
    <w:rsid w:val="000D7DDE"/>
    <w:rsid w:val="000E038B"/>
    <w:rsid w:val="000E057C"/>
    <w:rsid w:val="000E082D"/>
    <w:rsid w:val="000E0A5B"/>
    <w:rsid w:val="000E0C99"/>
    <w:rsid w:val="000E1375"/>
    <w:rsid w:val="000E24E0"/>
    <w:rsid w:val="000E2E5D"/>
    <w:rsid w:val="000E3B2B"/>
    <w:rsid w:val="000E3B31"/>
    <w:rsid w:val="000E41CF"/>
    <w:rsid w:val="000E4280"/>
    <w:rsid w:val="000E4323"/>
    <w:rsid w:val="000E4614"/>
    <w:rsid w:val="000E5FD8"/>
    <w:rsid w:val="000E663D"/>
    <w:rsid w:val="000E6A72"/>
    <w:rsid w:val="000E7EE9"/>
    <w:rsid w:val="000F0301"/>
    <w:rsid w:val="000F2430"/>
    <w:rsid w:val="000F2752"/>
    <w:rsid w:val="000F2BA1"/>
    <w:rsid w:val="000F34E5"/>
    <w:rsid w:val="000F35B3"/>
    <w:rsid w:val="000F42FE"/>
    <w:rsid w:val="000F4C85"/>
    <w:rsid w:val="000F4F39"/>
    <w:rsid w:val="000F6041"/>
    <w:rsid w:val="000F618D"/>
    <w:rsid w:val="000F6C3D"/>
    <w:rsid w:val="000F779D"/>
    <w:rsid w:val="000F79B1"/>
    <w:rsid w:val="00100646"/>
    <w:rsid w:val="00100B59"/>
    <w:rsid w:val="0010178E"/>
    <w:rsid w:val="00102044"/>
    <w:rsid w:val="001024F4"/>
    <w:rsid w:val="00103542"/>
    <w:rsid w:val="00103C44"/>
    <w:rsid w:val="00105719"/>
    <w:rsid w:val="00105927"/>
    <w:rsid w:val="0010593F"/>
    <w:rsid w:val="00105DEF"/>
    <w:rsid w:val="001060E5"/>
    <w:rsid w:val="001072E3"/>
    <w:rsid w:val="001079F8"/>
    <w:rsid w:val="001101BF"/>
    <w:rsid w:val="001105E8"/>
    <w:rsid w:val="00110F73"/>
    <w:rsid w:val="00111A56"/>
    <w:rsid w:val="00111FB4"/>
    <w:rsid w:val="001120F4"/>
    <w:rsid w:val="001131CF"/>
    <w:rsid w:val="0011333C"/>
    <w:rsid w:val="00113B46"/>
    <w:rsid w:val="00113BEC"/>
    <w:rsid w:val="001162FC"/>
    <w:rsid w:val="001163C8"/>
    <w:rsid w:val="0011665E"/>
    <w:rsid w:val="00117146"/>
    <w:rsid w:val="00117B0C"/>
    <w:rsid w:val="00120411"/>
    <w:rsid w:val="00120641"/>
    <w:rsid w:val="001207C9"/>
    <w:rsid w:val="001210FA"/>
    <w:rsid w:val="001219E0"/>
    <w:rsid w:val="00121E32"/>
    <w:rsid w:val="00122507"/>
    <w:rsid w:val="00122BF1"/>
    <w:rsid w:val="00123B66"/>
    <w:rsid w:val="00124820"/>
    <w:rsid w:val="00124F55"/>
    <w:rsid w:val="0012596E"/>
    <w:rsid w:val="00125AA9"/>
    <w:rsid w:val="00125B30"/>
    <w:rsid w:val="00126464"/>
    <w:rsid w:val="001269A4"/>
    <w:rsid w:val="00126DCA"/>
    <w:rsid w:val="00127AA3"/>
    <w:rsid w:val="00127F66"/>
    <w:rsid w:val="00130226"/>
    <w:rsid w:val="00130734"/>
    <w:rsid w:val="00131BD3"/>
    <w:rsid w:val="00132370"/>
    <w:rsid w:val="0013248A"/>
    <w:rsid w:val="0013430D"/>
    <w:rsid w:val="001346DA"/>
    <w:rsid w:val="001358E0"/>
    <w:rsid w:val="00135D88"/>
    <w:rsid w:val="00135E03"/>
    <w:rsid w:val="00135F76"/>
    <w:rsid w:val="001361A5"/>
    <w:rsid w:val="001369A5"/>
    <w:rsid w:val="0013706D"/>
    <w:rsid w:val="00140A66"/>
    <w:rsid w:val="001417D3"/>
    <w:rsid w:val="00141FDB"/>
    <w:rsid w:val="00142804"/>
    <w:rsid w:val="00142806"/>
    <w:rsid w:val="001430CA"/>
    <w:rsid w:val="0014339E"/>
    <w:rsid w:val="00143B95"/>
    <w:rsid w:val="00144577"/>
    <w:rsid w:val="00144700"/>
    <w:rsid w:val="0014474F"/>
    <w:rsid w:val="00144D61"/>
    <w:rsid w:val="00144FBA"/>
    <w:rsid w:val="00145F24"/>
    <w:rsid w:val="00146333"/>
    <w:rsid w:val="00147025"/>
    <w:rsid w:val="0014758A"/>
    <w:rsid w:val="00150135"/>
    <w:rsid w:val="001509BD"/>
    <w:rsid w:val="00151C59"/>
    <w:rsid w:val="00153D65"/>
    <w:rsid w:val="00154460"/>
    <w:rsid w:val="0015497D"/>
    <w:rsid w:val="001549E6"/>
    <w:rsid w:val="00154E06"/>
    <w:rsid w:val="001552AE"/>
    <w:rsid w:val="00156DA6"/>
    <w:rsid w:val="00157E85"/>
    <w:rsid w:val="0016039F"/>
    <w:rsid w:val="00160FFE"/>
    <w:rsid w:val="0016147E"/>
    <w:rsid w:val="001614F4"/>
    <w:rsid w:val="00161564"/>
    <w:rsid w:val="00161B89"/>
    <w:rsid w:val="00161C08"/>
    <w:rsid w:val="0016260C"/>
    <w:rsid w:val="001626D5"/>
    <w:rsid w:val="00162B85"/>
    <w:rsid w:val="00162F2F"/>
    <w:rsid w:val="0016346E"/>
    <w:rsid w:val="001637AF"/>
    <w:rsid w:val="00163896"/>
    <w:rsid w:val="00163EE3"/>
    <w:rsid w:val="0016540E"/>
    <w:rsid w:val="00166181"/>
    <w:rsid w:val="00167D26"/>
    <w:rsid w:val="001708F1"/>
    <w:rsid w:val="00171DA0"/>
    <w:rsid w:val="00171EA2"/>
    <w:rsid w:val="00171EAA"/>
    <w:rsid w:val="00173348"/>
    <w:rsid w:val="00173A37"/>
    <w:rsid w:val="00173EA4"/>
    <w:rsid w:val="001742D8"/>
    <w:rsid w:val="00174D4F"/>
    <w:rsid w:val="00175C37"/>
    <w:rsid w:val="00176BBB"/>
    <w:rsid w:val="00176E0F"/>
    <w:rsid w:val="00177C25"/>
    <w:rsid w:val="0018053F"/>
    <w:rsid w:val="00180D13"/>
    <w:rsid w:val="00181863"/>
    <w:rsid w:val="00182136"/>
    <w:rsid w:val="001829ED"/>
    <w:rsid w:val="00183956"/>
    <w:rsid w:val="0018395D"/>
    <w:rsid w:val="00183A17"/>
    <w:rsid w:val="00183BC9"/>
    <w:rsid w:val="00183CE1"/>
    <w:rsid w:val="00183FD6"/>
    <w:rsid w:val="001842CE"/>
    <w:rsid w:val="0018437A"/>
    <w:rsid w:val="00185B0A"/>
    <w:rsid w:val="0018617D"/>
    <w:rsid w:val="00186D47"/>
    <w:rsid w:val="0018766B"/>
    <w:rsid w:val="00190980"/>
    <w:rsid w:val="00192DBA"/>
    <w:rsid w:val="0019379E"/>
    <w:rsid w:val="00193DB8"/>
    <w:rsid w:val="00194701"/>
    <w:rsid w:val="001952FB"/>
    <w:rsid w:val="00196794"/>
    <w:rsid w:val="001968BE"/>
    <w:rsid w:val="00196BB0"/>
    <w:rsid w:val="00196D38"/>
    <w:rsid w:val="00196FD0"/>
    <w:rsid w:val="00197B66"/>
    <w:rsid w:val="001A024A"/>
    <w:rsid w:val="001A02FD"/>
    <w:rsid w:val="001A0546"/>
    <w:rsid w:val="001A07D8"/>
    <w:rsid w:val="001A0803"/>
    <w:rsid w:val="001A160A"/>
    <w:rsid w:val="001A16F1"/>
    <w:rsid w:val="001A185F"/>
    <w:rsid w:val="001A19CC"/>
    <w:rsid w:val="001A262F"/>
    <w:rsid w:val="001A404A"/>
    <w:rsid w:val="001A4187"/>
    <w:rsid w:val="001A5720"/>
    <w:rsid w:val="001A65F0"/>
    <w:rsid w:val="001A6829"/>
    <w:rsid w:val="001B08B3"/>
    <w:rsid w:val="001B0FC6"/>
    <w:rsid w:val="001B2DE8"/>
    <w:rsid w:val="001B2E10"/>
    <w:rsid w:val="001B2F22"/>
    <w:rsid w:val="001B2F2F"/>
    <w:rsid w:val="001B321B"/>
    <w:rsid w:val="001B47CB"/>
    <w:rsid w:val="001B4FC8"/>
    <w:rsid w:val="001B4FEA"/>
    <w:rsid w:val="001B5EFD"/>
    <w:rsid w:val="001B733A"/>
    <w:rsid w:val="001B7CE9"/>
    <w:rsid w:val="001C010F"/>
    <w:rsid w:val="001C01D0"/>
    <w:rsid w:val="001C105F"/>
    <w:rsid w:val="001C1367"/>
    <w:rsid w:val="001C15C2"/>
    <w:rsid w:val="001C16D6"/>
    <w:rsid w:val="001C1F3B"/>
    <w:rsid w:val="001C25FE"/>
    <w:rsid w:val="001C28AD"/>
    <w:rsid w:val="001C3485"/>
    <w:rsid w:val="001C66A9"/>
    <w:rsid w:val="001C7219"/>
    <w:rsid w:val="001C7540"/>
    <w:rsid w:val="001C768B"/>
    <w:rsid w:val="001D0887"/>
    <w:rsid w:val="001D0E72"/>
    <w:rsid w:val="001D170D"/>
    <w:rsid w:val="001D217B"/>
    <w:rsid w:val="001D243F"/>
    <w:rsid w:val="001D253D"/>
    <w:rsid w:val="001D2729"/>
    <w:rsid w:val="001D29CA"/>
    <w:rsid w:val="001D3D18"/>
    <w:rsid w:val="001D41B6"/>
    <w:rsid w:val="001D435E"/>
    <w:rsid w:val="001D46DA"/>
    <w:rsid w:val="001D4E42"/>
    <w:rsid w:val="001D5084"/>
    <w:rsid w:val="001D52D0"/>
    <w:rsid w:val="001D5930"/>
    <w:rsid w:val="001D5FD9"/>
    <w:rsid w:val="001D61A8"/>
    <w:rsid w:val="001D6EA1"/>
    <w:rsid w:val="001E05A8"/>
    <w:rsid w:val="001E191C"/>
    <w:rsid w:val="001E3260"/>
    <w:rsid w:val="001E4673"/>
    <w:rsid w:val="001E4A2D"/>
    <w:rsid w:val="001E4D41"/>
    <w:rsid w:val="001E4FD1"/>
    <w:rsid w:val="001E57A8"/>
    <w:rsid w:val="001E647E"/>
    <w:rsid w:val="001E6EBC"/>
    <w:rsid w:val="001F0E1A"/>
    <w:rsid w:val="001F0F49"/>
    <w:rsid w:val="001F2870"/>
    <w:rsid w:val="001F2A63"/>
    <w:rsid w:val="001F3AEB"/>
    <w:rsid w:val="001F3B7C"/>
    <w:rsid w:val="001F3DD8"/>
    <w:rsid w:val="001F4C27"/>
    <w:rsid w:val="001F50E5"/>
    <w:rsid w:val="001F5FBF"/>
    <w:rsid w:val="001F677D"/>
    <w:rsid w:val="001F6A8B"/>
    <w:rsid w:val="001F79BD"/>
    <w:rsid w:val="001F7DB5"/>
    <w:rsid w:val="0020056B"/>
    <w:rsid w:val="00200853"/>
    <w:rsid w:val="00200DFF"/>
    <w:rsid w:val="00200FDB"/>
    <w:rsid w:val="00201258"/>
    <w:rsid w:val="0020152D"/>
    <w:rsid w:val="002022E5"/>
    <w:rsid w:val="0020393A"/>
    <w:rsid w:val="002041D4"/>
    <w:rsid w:val="002041D8"/>
    <w:rsid w:val="00204512"/>
    <w:rsid w:val="00204F0F"/>
    <w:rsid w:val="00206590"/>
    <w:rsid w:val="002104F9"/>
    <w:rsid w:val="00211AB9"/>
    <w:rsid w:val="00213328"/>
    <w:rsid w:val="002138AB"/>
    <w:rsid w:val="00215262"/>
    <w:rsid w:val="002152DA"/>
    <w:rsid w:val="002155A5"/>
    <w:rsid w:val="002166D5"/>
    <w:rsid w:val="002179D3"/>
    <w:rsid w:val="00220029"/>
    <w:rsid w:val="002204E3"/>
    <w:rsid w:val="00220B5A"/>
    <w:rsid w:val="002211EF"/>
    <w:rsid w:val="0022196C"/>
    <w:rsid w:val="002228D1"/>
    <w:rsid w:val="002230C1"/>
    <w:rsid w:val="002234F3"/>
    <w:rsid w:val="0022420B"/>
    <w:rsid w:val="00225008"/>
    <w:rsid w:val="00225322"/>
    <w:rsid w:val="00225994"/>
    <w:rsid w:val="00225BF2"/>
    <w:rsid w:val="00225C5C"/>
    <w:rsid w:val="0022655A"/>
    <w:rsid w:val="002269A7"/>
    <w:rsid w:val="00227CA9"/>
    <w:rsid w:val="00227E25"/>
    <w:rsid w:val="0023009B"/>
    <w:rsid w:val="00230309"/>
    <w:rsid w:val="002303BE"/>
    <w:rsid w:val="00230B9C"/>
    <w:rsid w:val="00231282"/>
    <w:rsid w:val="00231A9F"/>
    <w:rsid w:val="002328EB"/>
    <w:rsid w:val="00232FD3"/>
    <w:rsid w:val="002334D5"/>
    <w:rsid w:val="00233AC3"/>
    <w:rsid w:val="00233AE6"/>
    <w:rsid w:val="002347B7"/>
    <w:rsid w:val="00234FD2"/>
    <w:rsid w:val="002351CA"/>
    <w:rsid w:val="00235670"/>
    <w:rsid w:val="00236512"/>
    <w:rsid w:val="002369CD"/>
    <w:rsid w:val="002371B0"/>
    <w:rsid w:val="00237B47"/>
    <w:rsid w:val="00241499"/>
    <w:rsid w:val="00242052"/>
    <w:rsid w:val="0024373C"/>
    <w:rsid w:val="002437CD"/>
    <w:rsid w:val="00243BD3"/>
    <w:rsid w:val="00243E2D"/>
    <w:rsid w:val="00245529"/>
    <w:rsid w:val="00245B02"/>
    <w:rsid w:val="00245DB4"/>
    <w:rsid w:val="00250008"/>
    <w:rsid w:val="00251285"/>
    <w:rsid w:val="00252049"/>
    <w:rsid w:val="00252E8F"/>
    <w:rsid w:val="002547B8"/>
    <w:rsid w:val="00254823"/>
    <w:rsid w:val="00254AB2"/>
    <w:rsid w:val="00255363"/>
    <w:rsid w:val="002559B6"/>
    <w:rsid w:val="002568A9"/>
    <w:rsid w:val="0025767D"/>
    <w:rsid w:val="00257BE7"/>
    <w:rsid w:val="002611D6"/>
    <w:rsid w:val="002613D9"/>
    <w:rsid w:val="00261547"/>
    <w:rsid w:val="00263525"/>
    <w:rsid w:val="00263ACC"/>
    <w:rsid w:val="00263E70"/>
    <w:rsid w:val="0026479D"/>
    <w:rsid w:val="00264B36"/>
    <w:rsid w:val="002653D3"/>
    <w:rsid w:val="00266A12"/>
    <w:rsid w:val="00266C16"/>
    <w:rsid w:val="00266F15"/>
    <w:rsid w:val="0027031A"/>
    <w:rsid w:val="00271049"/>
    <w:rsid w:val="00271857"/>
    <w:rsid w:val="00271E81"/>
    <w:rsid w:val="00271F43"/>
    <w:rsid w:val="002722EE"/>
    <w:rsid w:val="00272B72"/>
    <w:rsid w:val="00272EDC"/>
    <w:rsid w:val="00273C91"/>
    <w:rsid w:val="00274928"/>
    <w:rsid w:val="00274DDE"/>
    <w:rsid w:val="002752E1"/>
    <w:rsid w:val="002761B2"/>
    <w:rsid w:val="00280A9C"/>
    <w:rsid w:val="00281178"/>
    <w:rsid w:val="00281AA2"/>
    <w:rsid w:val="00282483"/>
    <w:rsid w:val="002834E7"/>
    <w:rsid w:val="002842D8"/>
    <w:rsid w:val="00284C15"/>
    <w:rsid w:val="00284C95"/>
    <w:rsid w:val="0028554D"/>
    <w:rsid w:val="00285BE4"/>
    <w:rsid w:val="00285EEA"/>
    <w:rsid w:val="00287CB0"/>
    <w:rsid w:val="00290145"/>
    <w:rsid w:val="00290A71"/>
    <w:rsid w:val="00290DC8"/>
    <w:rsid w:val="002916D2"/>
    <w:rsid w:val="00292DA8"/>
    <w:rsid w:val="0029382F"/>
    <w:rsid w:val="002938AC"/>
    <w:rsid w:val="00294071"/>
    <w:rsid w:val="00294870"/>
    <w:rsid w:val="00294BAF"/>
    <w:rsid w:val="0029513D"/>
    <w:rsid w:val="0029519C"/>
    <w:rsid w:val="00295A77"/>
    <w:rsid w:val="002963E4"/>
    <w:rsid w:val="00297158"/>
    <w:rsid w:val="002A0DA6"/>
    <w:rsid w:val="002A155E"/>
    <w:rsid w:val="002A1BC3"/>
    <w:rsid w:val="002A1F0B"/>
    <w:rsid w:val="002A2046"/>
    <w:rsid w:val="002A2112"/>
    <w:rsid w:val="002A266A"/>
    <w:rsid w:val="002A2758"/>
    <w:rsid w:val="002A2ECA"/>
    <w:rsid w:val="002A419D"/>
    <w:rsid w:val="002A4221"/>
    <w:rsid w:val="002A45E5"/>
    <w:rsid w:val="002A47BD"/>
    <w:rsid w:val="002A4D8C"/>
    <w:rsid w:val="002A4E0A"/>
    <w:rsid w:val="002A4F92"/>
    <w:rsid w:val="002A5740"/>
    <w:rsid w:val="002A5C6D"/>
    <w:rsid w:val="002A791A"/>
    <w:rsid w:val="002B1682"/>
    <w:rsid w:val="002B184D"/>
    <w:rsid w:val="002B20DB"/>
    <w:rsid w:val="002B307F"/>
    <w:rsid w:val="002B3DE2"/>
    <w:rsid w:val="002B4BEA"/>
    <w:rsid w:val="002B55DF"/>
    <w:rsid w:val="002B5774"/>
    <w:rsid w:val="002B6664"/>
    <w:rsid w:val="002B702C"/>
    <w:rsid w:val="002B7258"/>
    <w:rsid w:val="002C04A3"/>
    <w:rsid w:val="002C10F3"/>
    <w:rsid w:val="002C125A"/>
    <w:rsid w:val="002C1360"/>
    <w:rsid w:val="002C342D"/>
    <w:rsid w:val="002C506D"/>
    <w:rsid w:val="002C54A4"/>
    <w:rsid w:val="002C554B"/>
    <w:rsid w:val="002C6EA2"/>
    <w:rsid w:val="002C763E"/>
    <w:rsid w:val="002C765F"/>
    <w:rsid w:val="002C7B4D"/>
    <w:rsid w:val="002D0614"/>
    <w:rsid w:val="002D0C85"/>
    <w:rsid w:val="002D16B0"/>
    <w:rsid w:val="002D1984"/>
    <w:rsid w:val="002D2B27"/>
    <w:rsid w:val="002D2DC2"/>
    <w:rsid w:val="002D3077"/>
    <w:rsid w:val="002D35E7"/>
    <w:rsid w:val="002D37F1"/>
    <w:rsid w:val="002D3B41"/>
    <w:rsid w:val="002D4518"/>
    <w:rsid w:val="002D4B75"/>
    <w:rsid w:val="002D58A7"/>
    <w:rsid w:val="002D5B29"/>
    <w:rsid w:val="002D5B47"/>
    <w:rsid w:val="002D66C4"/>
    <w:rsid w:val="002D7377"/>
    <w:rsid w:val="002E01F3"/>
    <w:rsid w:val="002E0F77"/>
    <w:rsid w:val="002E1341"/>
    <w:rsid w:val="002E22E1"/>
    <w:rsid w:val="002E2339"/>
    <w:rsid w:val="002E25B8"/>
    <w:rsid w:val="002E2766"/>
    <w:rsid w:val="002E2F0B"/>
    <w:rsid w:val="002E3416"/>
    <w:rsid w:val="002E3C46"/>
    <w:rsid w:val="002E50FB"/>
    <w:rsid w:val="002E55A0"/>
    <w:rsid w:val="002E55FC"/>
    <w:rsid w:val="002E6343"/>
    <w:rsid w:val="002E6554"/>
    <w:rsid w:val="002E6564"/>
    <w:rsid w:val="002E65D1"/>
    <w:rsid w:val="002E7269"/>
    <w:rsid w:val="002E727D"/>
    <w:rsid w:val="002E782F"/>
    <w:rsid w:val="002E7A2F"/>
    <w:rsid w:val="002E7D1D"/>
    <w:rsid w:val="002E7D22"/>
    <w:rsid w:val="002E7E24"/>
    <w:rsid w:val="002F0509"/>
    <w:rsid w:val="002F05C4"/>
    <w:rsid w:val="002F0E8B"/>
    <w:rsid w:val="002F2070"/>
    <w:rsid w:val="002F34ED"/>
    <w:rsid w:val="002F35BF"/>
    <w:rsid w:val="002F3693"/>
    <w:rsid w:val="002F416C"/>
    <w:rsid w:val="002F4744"/>
    <w:rsid w:val="002F48E6"/>
    <w:rsid w:val="002F4982"/>
    <w:rsid w:val="002F50A8"/>
    <w:rsid w:val="002F587F"/>
    <w:rsid w:val="002F5F1B"/>
    <w:rsid w:val="002F615A"/>
    <w:rsid w:val="002F64DA"/>
    <w:rsid w:val="002F6C8A"/>
    <w:rsid w:val="0030053F"/>
    <w:rsid w:val="00300CFA"/>
    <w:rsid w:val="00300EB8"/>
    <w:rsid w:val="00301906"/>
    <w:rsid w:val="0030200A"/>
    <w:rsid w:val="00302299"/>
    <w:rsid w:val="00302D04"/>
    <w:rsid w:val="003030D0"/>
    <w:rsid w:val="0030343E"/>
    <w:rsid w:val="0030386B"/>
    <w:rsid w:val="003041DA"/>
    <w:rsid w:val="003043AD"/>
    <w:rsid w:val="003056EB"/>
    <w:rsid w:val="00305BAE"/>
    <w:rsid w:val="00307A61"/>
    <w:rsid w:val="00307D7F"/>
    <w:rsid w:val="0031017A"/>
    <w:rsid w:val="00310D9D"/>
    <w:rsid w:val="00313892"/>
    <w:rsid w:val="0031433F"/>
    <w:rsid w:val="00314CDB"/>
    <w:rsid w:val="00315D72"/>
    <w:rsid w:val="00315FFE"/>
    <w:rsid w:val="003169D2"/>
    <w:rsid w:val="0031728C"/>
    <w:rsid w:val="00317EDF"/>
    <w:rsid w:val="00320B52"/>
    <w:rsid w:val="00320E72"/>
    <w:rsid w:val="00321022"/>
    <w:rsid w:val="00321585"/>
    <w:rsid w:val="00321C11"/>
    <w:rsid w:val="00321E58"/>
    <w:rsid w:val="00322C8C"/>
    <w:rsid w:val="003239AD"/>
    <w:rsid w:val="00323E80"/>
    <w:rsid w:val="0032409A"/>
    <w:rsid w:val="00324588"/>
    <w:rsid w:val="0032477C"/>
    <w:rsid w:val="003254B1"/>
    <w:rsid w:val="0032571C"/>
    <w:rsid w:val="003271C1"/>
    <w:rsid w:val="003306C4"/>
    <w:rsid w:val="00330846"/>
    <w:rsid w:val="00330BD0"/>
    <w:rsid w:val="00330BD5"/>
    <w:rsid w:val="00333B28"/>
    <w:rsid w:val="00335054"/>
    <w:rsid w:val="003352DE"/>
    <w:rsid w:val="00335C93"/>
    <w:rsid w:val="00336454"/>
    <w:rsid w:val="0033724E"/>
    <w:rsid w:val="003372AD"/>
    <w:rsid w:val="00337AFD"/>
    <w:rsid w:val="00340672"/>
    <w:rsid w:val="003415D0"/>
    <w:rsid w:val="00341A7A"/>
    <w:rsid w:val="003425D5"/>
    <w:rsid w:val="003436F5"/>
    <w:rsid w:val="0034386B"/>
    <w:rsid w:val="00343DFE"/>
    <w:rsid w:val="00344762"/>
    <w:rsid w:val="003467E6"/>
    <w:rsid w:val="003473DD"/>
    <w:rsid w:val="00347F1D"/>
    <w:rsid w:val="00350174"/>
    <w:rsid w:val="00350DBE"/>
    <w:rsid w:val="0035161B"/>
    <w:rsid w:val="00351860"/>
    <w:rsid w:val="00351B83"/>
    <w:rsid w:val="0035280A"/>
    <w:rsid w:val="00352810"/>
    <w:rsid w:val="00352FE1"/>
    <w:rsid w:val="003530CE"/>
    <w:rsid w:val="00353637"/>
    <w:rsid w:val="00356343"/>
    <w:rsid w:val="003568C5"/>
    <w:rsid w:val="0035696F"/>
    <w:rsid w:val="00357AB2"/>
    <w:rsid w:val="003600A3"/>
    <w:rsid w:val="00360B74"/>
    <w:rsid w:val="00364A14"/>
    <w:rsid w:val="00364ADD"/>
    <w:rsid w:val="00365D9F"/>
    <w:rsid w:val="00367029"/>
    <w:rsid w:val="003671F8"/>
    <w:rsid w:val="00367AB1"/>
    <w:rsid w:val="003701B4"/>
    <w:rsid w:val="00370B21"/>
    <w:rsid w:val="00370B45"/>
    <w:rsid w:val="00370B58"/>
    <w:rsid w:val="00370D77"/>
    <w:rsid w:val="00371764"/>
    <w:rsid w:val="00371D32"/>
    <w:rsid w:val="00372C44"/>
    <w:rsid w:val="00373918"/>
    <w:rsid w:val="00373A00"/>
    <w:rsid w:val="00373B6E"/>
    <w:rsid w:val="00374237"/>
    <w:rsid w:val="00374348"/>
    <w:rsid w:val="003770A8"/>
    <w:rsid w:val="00381A54"/>
    <w:rsid w:val="00381F5B"/>
    <w:rsid w:val="00383207"/>
    <w:rsid w:val="00384363"/>
    <w:rsid w:val="003847F6"/>
    <w:rsid w:val="0038484C"/>
    <w:rsid w:val="00386F99"/>
    <w:rsid w:val="00387B8F"/>
    <w:rsid w:val="00387C7C"/>
    <w:rsid w:val="0039027B"/>
    <w:rsid w:val="00390D4A"/>
    <w:rsid w:val="00390D9F"/>
    <w:rsid w:val="00393961"/>
    <w:rsid w:val="00394189"/>
    <w:rsid w:val="00394CDF"/>
    <w:rsid w:val="00395922"/>
    <w:rsid w:val="00395DAA"/>
    <w:rsid w:val="003965BE"/>
    <w:rsid w:val="00397C3E"/>
    <w:rsid w:val="003A0066"/>
    <w:rsid w:val="003A042C"/>
    <w:rsid w:val="003A17C7"/>
    <w:rsid w:val="003A2CEE"/>
    <w:rsid w:val="003A341A"/>
    <w:rsid w:val="003A3CB1"/>
    <w:rsid w:val="003B0B4E"/>
    <w:rsid w:val="003B0BB3"/>
    <w:rsid w:val="003B0DDA"/>
    <w:rsid w:val="003B1335"/>
    <w:rsid w:val="003B17E6"/>
    <w:rsid w:val="003B185B"/>
    <w:rsid w:val="003B2299"/>
    <w:rsid w:val="003B3057"/>
    <w:rsid w:val="003B3395"/>
    <w:rsid w:val="003B356C"/>
    <w:rsid w:val="003B39FE"/>
    <w:rsid w:val="003B52BF"/>
    <w:rsid w:val="003B613C"/>
    <w:rsid w:val="003B6815"/>
    <w:rsid w:val="003B73AB"/>
    <w:rsid w:val="003B77D5"/>
    <w:rsid w:val="003C0782"/>
    <w:rsid w:val="003C0F91"/>
    <w:rsid w:val="003C2F23"/>
    <w:rsid w:val="003C5405"/>
    <w:rsid w:val="003C56B9"/>
    <w:rsid w:val="003C5B24"/>
    <w:rsid w:val="003C6114"/>
    <w:rsid w:val="003C642F"/>
    <w:rsid w:val="003C706F"/>
    <w:rsid w:val="003C779D"/>
    <w:rsid w:val="003C77D5"/>
    <w:rsid w:val="003C7B57"/>
    <w:rsid w:val="003D068D"/>
    <w:rsid w:val="003D0931"/>
    <w:rsid w:val="003D0953"/>
    <w:rsid w:val="003D1B32"/>
    <w:rsid w:val="003D1E5D"/>
    <w:rsid w:val="003D27B4"/>
    <w:rsid w:val="003D2C34"/>
    <w:rsid w:val="003D3A8B"/>
    <w:rsid w:val="003D4399"/>
    <w:rsid w:val="003D5955"/>
    <w:rsid w:val="003D5BA6"/>
    <w:rsid w:val="003D630E"/>
    <w:rsid w:val="003D7D1B"/>
    <w:rsid w:val="003E0615"/>
    <w:rsid w:val="003E06D2"/>
    <w:rsid w:val="003E0DB5"/>
    <w:rsid w:val="003E0E08"/>
    <w:rsid w:val="003E1C3C"/>
    <w:rsid w:val="003E1F93"/>
    <w:rsid w:val="003E2405"/>
    <w:rsid w:val="003E2A99"/>
    <w:rsid w:val="003E3450"/>
    <w:rsid w:val="003E3BFF"/>
    <w:rsid w:val="003E3F9F"/>
    <w:rsid w:val="003E42C1"/>
    <w:rsid w:val="003E4547"/>
    <w:rsid w:val="003E4B24"/>
    <w:rsid w:val="003E52C8"/>
    <w:rsid w:val="003E53F5"/>
    <w:rsid w:val="003E7210"/>
    <w:rsid w:val="003E76F8"/>
    <w:rsid w:val="003E7FE7"/>
    <w:rsid w:val="003F0EA4"/>
    <w:rsid w:val="003F2FAE"/>
    <w:rsid w:val="003F45D6"/>
    <w:rsid w:val="003F4ACF"/>
    <w:rsid w:val="003F4DCA"/>
    <w:rsid w:val="003F5130"/>
    <w:rsid w:val="003F5785"/>
    <w:rsid w:val="003F58F4"/>
    <w:rsid w:val="003F6F80"/>
    <w:rsid w:val="0040098A"/>
    <w:rsid w:val="00400E2A"/>
    <w:rsid w:val="0040131C"/>
    <w:rsid w:val="00401935"/>
    <w:rsid w:val="00401C4E"/>
    <w:rsid w:val="0040204C"/>
    <w:rsid w:val="00402AA9"/>
    <w:rsid w:val="00403663"/>
    <w:rsid w:val="0040377B"/>
    <w:rsid w:val="004042A0"/>
    <w:rsid w:val="00405A08"/>
    <w:rsid w:val="004074A0"/>
    <w:rsid w:val="004076B3"/>
    <w:rsid w:val="00407BB2"/>
    <w:rsid w:val="0041063E"/>
    <w:rsid w:val="004107BA"/>
    <w:rsid w:val="00411236"/>
    <w:rsid w:val="004116B5"/>
    <w:rsid w:val="004118B1"/>
    <w:rsid w:val="00411B4A"/>
    <w:rsid w:val="00412565"/>
    <w:rsid w:val="00412B11"/>
    <w:rsid w:val="00414FE7"/>
    <w:rsid w:val="00415901"/>
    <w:rsid w:val="00415980"/>
    <w:rsid w:val="00415C81"/>
    <w:rsid w:val="00415EDF"/>
    <w:rsid w:val="004160DC"/>
    <w:rsid w:val="00416D7F"/>
    <w:rsid w:val="00416E60"/>
    <w:rsid w:val="0041724D"/>
    <w:rsid w:val="00417398"/>
    <w:rsid w:val="0041747F"/>
    <w:rsid w:val="0041779D"/>
    <w:rsid w:val="00417D13"/>
    <w:rsid w:val="0042057C"/>
    <w:rsid w:val="00421465"/>
    <w:rsid w:val="004222EE"/>
    <w:rsid w:val="00422693"/>
    <w:rsid w:val="004234F3"/>
    <w:rsid w:val="00423594"/>
    <w:rsid w:val="00424B67"/>
    <w:rsid w:val="00424C8E"/>
    <w:rsid w:val="004250B9"/>
    <w:rsid w:val="00425D93"/>
    <w:rsid w:val="0042707C"/>
    <w:rsid w:val="00427619"/>
    <w:rsid w:val="00427ABA"/>
    <w:rsid w:val="00430022"/>
    <w:rsid w:val="004303E7"/>
    <w:rsid w:val="0043223D"/>
    <w:rsid w:val="00432472"/>
    <w:rsid w:val="004324B1"/>
    <w:rsid w:val="00433124"/>
    <w:rsid w:val="00433DF3"/>
    <w:rsid w:val="00433F46"/>
    <w:rsid w:val="00433F88"/>
    <w:rsid w:val="00434A3F"/>
    <w:rsid w:val="00434D37"/>
    <w:rsid w:val="00434E5E"/>
    <w:rsid w:val="00435D47"/>
    <w:rsid w:val="00435FA1"/>
    <w:rsid w:val="0043692A"/>
    <w:rsid w:val="00437825"/>
    <w:rsid w:val="0044026B"/>
    <w:rsid w:val="0044193B"/>
    <w:rsid w:val="00441D5E"/>
    <w:rsid w:val="00441EE1"/>
    <w:rsid w:val="0044216A"/>
    <w:rsid w:val="00442336"/>
    <w:rsid w:val="0044299A"/>
    <w:rsid w:val="004431CF"/>
    <w:rsid w:val="00443C57"/>
    <w:rsid w:val="0044455F"/>
    <w:rsid w:val="0044479C"/>
    <w:rsid w:val="00446611"/>
    <w:rsid w:val="004468B3"/>
    <w:rsid w:val="00447788"/>
    <w:rsid w:val="0045011C"/>
    <w:rsid w:val="00450901"/>
    <w:rsid w:val="00450938"/>
    <w:rsid w:val="004509AC"/>
    <w:rsid w:val="004509CF"/>
    <w:rsid w:val="00451587"/>
    <w:rsid w:val="00451FDD"/>
    <w:rsid w:val="0045241C"/>
    <w:rsid w:val="00453A45"/>
    <w:rsid w:val="004541A3"/>
    <w:rsid w:val="004552DA"/>
    <w:rsid w:val="00455B1F"/>
    <w:rsid w:val="004565DC"/>
    <w:rsid w:val="00457046"/>
    <w:rsid w:val="004573E5"/>
    <w:rsid w:val="00457922"/>
    <w:rsid w:val="00460A42"/>
    <w:rsid w:val="00460C13"/>
    <w:rsid w:val="00460DE0"/>
    <w:rsid w:val="00462945"/>
    <w:rsid w:val="004644A6"/>
    <w:rsid w:val="0046461D"/>
    <w:rsid w:val="00464E66"/>
    <w:rsid w:val="004651D4"/>
    <w:rsid w:val="00465EB6"/>
    <w:rsid w:val="00467BC6"/>
    <w:rsid w:val="00470756"/>
    <w:rsid w:val="004707A7"/>
    <w:rsid w:val="00471337"/>
    <w:rsid w:val="00471F47"/>
    <w:rsid w:val="0047279E"/>
    <w:rsid w:val="004736A2"/>
    <w:rsid w:val="00473BB9"/>
    <w:rsid w:val="00473E66"/>
    <w:rsid w:val="004740B6"/>
    <w:rsid w:val="00474EEF"/>
    <w:rsid w:val="00475BF1"/>
    <w:rsid w:val="00475C8A"/>
    <w:rsid w:val="0047731A"/>
    <w:rsid w:val="0047790D"/>
    <w:rsid w:val="00480207"/>
    <w:rsid w:val="00480521"/>
    <w:rsid w:val="0048126E"/>
    <w:rsid w:val="0048127A"/>
    <w:rsid w:val="00483502"/>
    <w:rsid w:val="00483591"/>
    <w:rsid w:val="00483C18"/>
    <w:rsid w:val="00483D4B"/>
    <w:rsid w:val="00484BE2"/>
    <w:rsid w:val="004850C6"/>
    <w:rsid w:val="004851F5"/>
    <w:rsid w:val="00485E2F"/>
    <w:rsid w:val="00485EB2"/>
    <w:rsid w:val="00485FC0"/>
    <w:rsid w:val="00486071"/>
    <w:rsid w:val="00486714"/>
    <w:rsid w:val="004869C1"/>
    <w:rsid w:val="004876B6"/>
    <w:rsid w:val="00487D48"/>
    <w:rsid w:val="004909A4"/>
    <w:rsid w:val="004913A6"/>
    <w:rsid w:val="00491D9B"/>
    <w:rsid w:val="004935C0"/>
    <w:rsid w:val="00493AF8"/>
    <w:rsid w:val="00494023"/>
    <w:rsid w:val="00494474"/>
    <w:rsid w:val="00495F67"/>
    <w:rsid w:val="004972DB"/>
    <w:rsid w:val="004978D5"/>
    <w:rsid w:val="004A03ED"/>
    <w:rsid w:val="004A0905"/>
    <w:rsid w:val="004A0BD1"/>
    <w:rsid w:val="004A0DD7"/>
    <w:rsid w:val="004A0E61"/>
    <w:rsid w:val="004A149B"/>
    <w:rsid w:val="004A18CF"/>
    <w:rsid w:val="004A20C2"/>
    <w:rsid w:val="004A31B6"/>
    <w:rsid w:val="004A31FE"/>
    <w:rsid w:val="004A5634"/>
    <w:rsid w:val="004A577E"/>
    <w:rsid w:val="004A6959"/>
    <w:rsid w:val="004A6A5B"/>
    <w:rsid w:val="004A7675"/>
    <w:rsid w:val="004A7F6F"/>
    <w:rsid w:val="004B060E"/>
    <w:rsid w:val="004B082E"/>
    <w:rsid w:val="004B0AB2"/>
    <w:rsid w:val="004B1182"/>
    <w:rsid w:val="004B527C"/>
    <w:rsid w:val="004B5C63"/>
    <w:rsid w:val="004B6281"/>
    <w:rsid w:val="004C08F5"/>
    <w:rsid w:val="004C090F"/>
    <w:rsid w:val="004C0953"/>
    <w:rsid w:val="004C22A7"/>
    <w:rsid w:val="004C2A8C"/>
    <w:rsid w:val="004C2B24"/>
    <w:rsid w:val="004C3724"/>
    <w:rsid w:val="004C468C"/>
    <w:rsid w:val="004C5D2F"/>
    <w:rsid w:val="004C62DC"/>
    <w:rsid w:val="004C6B76"/>
    <w:rsid w:val="004C783B"/>
    <w:rsid w:val="004D05A9"/>
    <w:rsid w:val="004D0712"/>
    <w:rsid w:val="004D0C8A"/>
    <w:rsid w:val="004D40C9"/>
    <w:rsid w:val="004D461F"/>
    <w:rsid w:val="004D4B70"/>
    <w:rsid w:val="004D4C22"/>
    <w:rsid w:val="004D53C5"/>
    <w:rsid w:val="004D6329"/>
    <w:rsid w:val="004D645C"/>
    <w:rsid w:val="004E03AD"/>
    <w:rsid w:val="004E0D92"/>
    <w:rsid w:val="004E0F77"/>
    <w:rsid w:val="004E1202"/>
    <w:rsid w:val="004E2023"/>
    <w:rsid w:val="004E2C1D"/>
    <w:rsid w:val="004E34E1"/>
    <w:rsid w:val="004E3986"/>
    <w:rsid w:val="004E3BFE"/>
    <w:rsid w:val="004E3F94"/>
    <w:rsid w:val="004E4807"/>
    <w:rsid w:val="004E5159"/>
    <w:rsid w:val="004E5363"/>
    <w:rsid w:val="004E56ED"/>
    <w:rsid w:val="004E5E7D"/>
    <w:rsid w:val="004E5FE4"/>
    <w:rsid w:val="004E6963"/>
    <w:rsid w:val="004E7036"/>
    <w:rsid w:val="004E736E"/>
    <w:rsid w:val="004F10B0"/>
    <w:rsid w:val="004F159F"/>
    <w:rsid w:val="004F1A28"/>
    <w:rsid w:val="004F1D85"/>
    <w:rsid w:val="004F2920"/>
    <w:rsid w:val="004F3675"/>
    <w:rsid w:val="004F4851"/>
    <w:rsid w:val="004F5273"/>
    <w:rsid w:val="004F58CA"/>
    <w:rsid w:val="004F6BC6"/>
    <w:rsid w:val="004F7682"/>
    <w:rsid w:val="004F7EF4"/>
    <w:rsid w:val="00500B0A"/>
    <w:rsid w:val="00500D43"/>
    <w:rsid w:val="00500D58"/>
    <w:rsid w:val="00501CD0"/>
    <w:rsid w:val="00501CF2"/>
    <w:rsid w:val="005030C8"/>
    <w:rsid w:val="00503243"/>
    <w:rsid w:val="00505C03"/>
    <w:rsid w:val="00505C1F"/>
    <w:rsid w:val="005060A0"/>
    <w:rsid w:val="00506319"/>
    <w:rsid w:val="005068F1"/>
    <w:rsid w:val="00507398"/>
    <w:rsid w:val="0050789E"/>
    <w:rsid w:val="0050798F"/>
    <w:rsid w:val="00507AFD"/>
    <w:rsid w:val="00507BCA"/>
    <w:rsid w:val="00507E49"/>
    <w:rsid w:val="0051112A"/>
    <w:rsid w:val="00511C21"/>
    <w:rsid w:val="00511C36"/>
    <w:rsid w:val="00511EB0"/>
    <w:rsid w:val="0051250C"/>
    <w:rsid w:val="00512C97"/>
    <w:rsid w:val="005130D7"/>
    <w:rsid w:val="00513162"/>
    <w:rsid w:val="0051380E"/>
    <w:rsid w:val="00513B2E"/>
    <w:rsid w:val="00514D16"/>
    <w:rsid w:val="0051663E"/>
    <w:rsid w:val="00517257"/>
    <w:rsid w:val="005174D1"/>
    <w:rsid w:val="00517DB7"/>
    <w:rsid w:val="00520BC4"/>
    <w:rsid w:val="00520E43"/>
    <w:rsid w:val="005211DA"/>
    <w:rsid w:val="00521818"/>
    <w:rsid w:val="00521A3C"/>
    <w:rsid w:val="00522152"/>
    <w:rsid w:val="00524314"/>
    <w:rsid w:val="00524EB4"/>
    <w:rsid w:val="00525B98"/>
    <w:rsid w:val="005260F9"/>
    <w:rsid w:val="00526951"/>
    <w:rsid w:val="00527120"/>
    <w:rsid w:val="00527B83"/>
    <w:rsid w:val="0053107D"/>
    <w:rsid w:val="0053284B"/>
    <w:rsid w:val="00532E33"/>
    <w:rsid w:val="005333CF"/>
    <w:rsid w:val="00533712"/>
    <w:rsid w:val="005353A0"/>
    <w:rsid w:val="00535477"/>
    <w:rsid w:val="0053557D"/>
    <w:rsid w:val="005363E9"/>
    <w:rsid w:val="005365A2"/>
    <w:rsid w:val="00536792"/>
    <w:rsid w:val="00537BD2"/>
    <w:rsid w:val="00537C4F"/>
    <w:rsid w:val="005408B3"/>
    <w:rsid w:val="00541496"/>
    <w:rsid w:val="005419A4"/>
    <w:rsid w:val="00542889"/>
    <w:rsid w:val="00543041"/>
    <w:rsid w:val="0054333B"/>
    <w:rsid w:val="00543EA3"/>
    <w:rsid w:val="00544150"/>
    <w:rsid w:val="005443FE"/>
    <w:rsid w:val="00544AE2"/>
    <w:rsid w:val="00544B6D"/>
    <w:rsid w:val="005451DB"/>
    <w:rsid w:val="005457EB"/>
    <w:rsid w:val="00545992"/>
    <w:rsid w:val="00545A9C"/>
    <w:rsid w:val="00545C46"/>
    <w:rsid w:val="005471D5"/>
    <w:rsid w:val="005504F3"/>
    <w:rsid w:val="0055265F"/>
    <w:rsid w:val="0055327C"/>
    <w:rsid w:val="00553DA1"/>
    <w:rsid w:val="0055452B"/>
    <w:rsid w:val="00555B3D"/>
    <w:rsid w:val="00556AA0"/>
    <w:rsid w:val="0055776E"/>
    <w:rsid w:val="00557D4F"/>
    <w:rsid w:val="00557D54"/>
    <w:rsid w:val="005609FE"/>
    <w:rsid w:val="00561B03"/>
    <w:rsid w:val="00561BC0"/>
    <w:rsid w:val="00561F99"/>
    <w:rsid w:val="00562411"/>
    <w:rsid w:val="00563BF6"/>
    <w:rsid w:val="00563C33"/>
    <w:rsid w:val="00565276"/>
    <w:rsid w:val="0056562F"/>
    <w:rsid w:val="00566895"/>
    <w:rsid w:val="005676E6"/>
    <w:rsid w:val="005707A0"/>
    <w:rsid w:val="005708A4"/>
    <w:rsid w:val="00570B36"/>
    <w:rsid w:val="00570E0F"/>
    <w:rsid w:val="00571325"/>
    <w:rsid w:val="00571A25"/>
    <w:rsid w:val="005724A4"/>
    <w:rsid w:val="005724B8"/>
    <w:rsid w:val="005727AA"/>
    <w:rsid w:val="00573DE9"/>
    <w:rsid w:val="00575124"/>
    <w:rsid w:val="0057547D"/>
    <w:rsid w:val="00575710"/>
    <w:rsid w:val="00576385"/>
    <w:rsid w:val="005801AE"/>
    <w:rsid w:val="00580634"/>
    <w:rsid w:val="0058237B"/>
    <w:rsid w:val="00582A9B"/>
    <w:rsid w:val="00582ABE"/>
    <w:rsid w:val="00583840"/>
    <w:rsid w:val="00583866"/>
    <w:rsid w:val="00583DC6"/>
    <w:rsid w:val="005840CD"/>
    <w:rsid w:val="005845EC"/>
    <w:rsid w:val="005848BB"/>
    <w:rsid w:val="00585819"/>
    <w:rsid w:val="0058584F"/>
    <w:rsid w:val="00585D7A"/>
    <w:rsid w:val="00586842"/>
    <w:rsid w:val="00586D9C"/>
    <w:rsid w:val="00587586"/>
    <w:rsid w:val="00591314"/>
    <w:rsid w:val="005925BA"/>
    <w:rsid w:val="0059261E"/>
    <w:rsid w:val="00592DFE"/>
    <w:rsid w:val="00592E65"/>
    <w:rsid w:val="005941AF"/>
    <w:rsid w:val="0059442E"/>
    <w:rsid w:val="00594FD4"/>
    <w:rsid w:val="00595220"/>
    <w:rsid w:val="005954AE"/>
    <w:rsid w:val="00595C74"/>
    <w:rsid w:val="00596C64"/>
    <w:rsid w:val="0059742D"/>
    <w:rsid w:val="00597781"/>
    <w:rsid w:val="005A011C"/>
    <w:rsid w:val="005A0E7A"/>
    <w:rsid w:val="005A0F98"/>
    <w:rsid w:val="005A18F3"/>
    <w:rsid w:val="005A1985"/>
    <w:rsid w:val="005A2779"/>
    <w:rsid w:val="005A31C3"/>
    <w:rsid w:val="005A3B33"/>
    <w:rsid w:val="005A5C3B"/>
    <w:rsid w:val="005A60EE"/>
    <w:rsid w:val="005A6728"/>
    <w:rsid w:val="005A748F"/>
    <w:rsid w:val="005B0A48"/>
    <w:rsid w:val="005B0DED"/>
    <w:rsid w:val="005B2985"/>
    <w:rsid w:val="005B2A5F"/>
    <w:rsid w:val="005B36AE"/>
    <w:rsid w:val="005B41C8"/>
    <w:rsid w:val="005B5082"/>
    <w:rsid w:val="005B544B"/>
    <w:rsid w:val="005B5A7C"/>
    <w:rsid w:val="005B6B9C"/>
    <w:rsid w:val="005B731E"/>
    <w:rsid w:val="005B7CED"/>
    <w:rsid w:val="005C1426"/>
    <w:rsid w:val="005C2E09"/>
    <w:rsid w:val="005C2F21"/>
    <w:rsid w:val="005C395C"/>
    <w:rsid w:val="005C4292"/>
    <w:rsid w:val="005C42EC"/>
    <w:rsid w:val="005C4F97"/>
    <w:rsid w:val="005C52B8"/>
    <w:rsid w:val="005C5D40"/>
    <w:rsid w:val="005C6222"/>
    <w:rsid w:val="005C6990"/>
    <w:rsid w:val="005C6E46"/>
    <w:rsid w:val="005C6FF2"/>
    <w:rsid w:val="005D01B7"/>
    <w:rsid w:val="005D0DE3"/>
    <w:rsid w:val="005D1C48"/>
    <w:rsid w:val="005D1F13"/>
    <w:rsid w:val="005D20F5"/>
    <w:rsid w:val="005D22C5"/>
    <w:rsid w:val="005D2A2F"/>
    <w:rsid w:val="005D2B98"/>
    <w:rsid w:val="005D3780"/>
    <w:rsid w:val="005D383C"/>
    <w:rsid w:val="005D3A80"/>
    <w:rsid w:val="005D45AB"/>
    <w:rsid w:val="005D59A3"/>
    <w:rsid w:val="005D6185"/>
    <w:rsid w:val="005D68E6"/>
    <w:rsid w:val="005D6909"/>
    <w:rsid w:val="005D6AC5"/>
    <w:rsid w:val="005D75B8"/>
    <w:rsid w:val="005E0296"/>
    <w:rsid w:val="005E0F06"/>
    <w:rsid w:val="005E11D9"/>
    <w:rsid w:val="005E2747"/>
    <w:rsid w:val="005E2B84"/>
    <w:rsid w:val="005E2D34"/>
    <w:rsid w:val="005E3342"/>
    <w:rsid w:val="005E4371"/>
    <w:rsid w:val="005E45E7"/>
    <w:rsid w:val="005E4C7F"/>
    <w:rsid w:val="005E5881"/>
    <w:rsid w:val="005E59C2"/>
    <w:rsid w:val="005E670E"/>
    <w:rsid w:val="005E6BD4"/>
    <w:rsid w:val="005E74A9"/>
    <w:rsid w:val="005F0E5D"/>
    <w:rsid w:val="005F180C"/>
    <w:rsid w:val="005F1B7A"/>
    <w:rsid w:val="005F3810"/>
    <w:rsid w:val="005F4E02"/>
    <w:rsid w:val="005F5036"/>
    <w:rsid w:val="005F5230"/>
    <w:rsid w:val="005F5482"/>
    <w:rsid w:val="005F6AFA"/>
    <w:rsid w:val="005F7137"/>
    <w:rsid w:val="005F748A"/>
    <w:rsid w:val="00600155"/>
    <w:rsid w:val="00601AE3"/>
    <w:rsid w:val="00601BA4"/>
    <w:rsid w:val="00602117"/>
    <w:rsid w:val="0060334E"/>
    <w:rsid w:val="00604965"/>
    <w:rsid w:val="00604C31"/>
    <w:rsid w:val="00605695"/>
    <w:rsid w:val="00605C34"/>
    <w:rsid w:val="00605DC4"/>
    <w:rsid w:val="00606943"/>
    <w:rsid w:val="00606E43"/>
    <w:rsid w:val="0060758F"/>
    <w:rsid w:val="00610018"/>
    <w:rsid w:val="006113C8"/>
    <w:rsid w:val="006114DE"/>
    <w:rsid w:val="00611A8E"/>
    <w:rsid w:val="00612DA4"/>
    <w:rsid w:val="00613291"/>
    <w:rsid w:val="0061411F"/>
    <w:rsid w:val="00614200"/>
    <w:rsid w:val="00614E6C"/>
    <w:rsid w:val="00614EFA"/>
    <w:rsid w:val="00620E19"/>
    <w:rsid w:val="006211A2"/>
    <w:rsid w:val="00622816"/>
    <w:rsid w:val="00623E14"/>
    <w:rsid w:val="006243D5"/>
    <w:rsid w:val="00624757"/>
    <w:rsid w:val="00624E4A"/>
    <w:rsid w:val="006250F1"/>
    <w:rsid w:val="00626034"/>
    <w:rsid w:val="006264B1"/>
    <w:rsid w:val="0062685D"/>
    <w:rsid w:val="00626ADE"/>
    <w:rsid w:val="006275A5"/>
    <w:rsid w:val="00630651"/>
    <w:rsid w:val="006326FA"/>
    <w:rsid w:val="006328A9"/>
    <w:rsid w:val="006343CA"/>
    <w:rsid w:val="0063757E"/>
    <w:rsid w:val="00637A8C"/>
    <w:rsid w:val="00637C57"/>
    <w:rsid w:val="00637C63"/>
    <w:rsid w:val="00637D5A"/>
    <w:rsid w:val="00640896"/>
    <w:rsid w:val="00642372"/>
    <w:rsid w:val="00644762"/>
    <w:rsid w:val="0064477C"/>
    <w:rsid w:val="0064533E"/>
    <w:rsid w:val="00645A54"/>
    <w:rsid w:val="006461F6"/>
    <w:rsid w:val="00646B3B"/>
    <w:rsid w:val="00646B3C"/>
    <w:rsid w:val="0064742B"/>
    <w:rsid w:val="00647543"/>
    <w:rsid w:val="00647770"/>
    <w:rsid w:val="00647AA3"/>
    <w:rsid w:val="0065193C"/>
    <w:rsid w:val="006520A9"/>
    <w:rsid w:val="00652494"/>
    <w:rsid w:val="0065253A"/>
    <w:rsid w:val="00652E09"/>
    <w:rsid w:val="00653DEE"/>
    <w:rsid w:val="00653F36"/>
    <w:rsid w:val="00655321"/>
    <w:rsid w:val="00655A8B"/>
    <w:rsid w:val="006601BB"/>
    <w:rsid w:val="006604EC"/>
    <w:rsid w:val="00660951"/>
    <w:rsid w:val="00660B33"/>
    <w:rsid w:val="00660BA2"/>
    <w:rsid w:val="00660C41"/>
    <w:rsid w:val="00661343"/>
    <w:rsid w:val="00661456"/>
    <w:rsid w:val="0066186E"/>
    <w:rsid w:val="006627F6"/>
    <w:rsid w:val="006637E3"/>
    <w:rsid w:val="00663C1C"/>
    <w:rsid w:val="00664774"/>
    <w:rsid w:val="006647F8"/>
    <w:rsid w:val="00665125"/>
    <w:rsid w:val="006663AB"/>
    <w:rsid w:val="0066685B"/>
    <w:rsid w:val="006677E8"/>
    <w:rsid w:val="00667847"/>
    <w:rsid w:val="00672380"/>
    <w:rsid w:val="00673A8F"/>
    <w:rsid w:val="00673F9A"/>
    <w:rsid w:val="006742AD"/>
    <w:rsid w:val="00675BFD"/>
    <w:rsid w:val="00676804"/>
    <w:rsid w:val="00677C6C"/>
    <w:rsid w:val="00680161"/>
    <w:rsid w:val="0068042B"/>
    <w:rsid w:val="00680DB2"/>
    <w:rsid w:val="00680DC4"/>
    <w:rsid w:val="006810CA"/>
    <w:rsid w:val="00681626"/>
    <w:rsid w:val="006822B2"/>
    <w:rsid w:val="00683BCD"/>
    <w:rsid w:val="00685190"/>
    <w:rsid w:val="006864ED"/>
    <w:rsid w:val="00686A21"/>
    <w:rsid w:val="00686C58"/>
    <w:rsid w:val="00686CC4"/>
    <w:rsid w:val="00687291"/>
    <w:rsid w:val="006873A3"/>
    <w:rsid w:val="00687BE7"/>
    <w:rsid w:val="006900E3"/>
    <w:rsid w:val="00690AF6"/>
    <w:rsid w:val="006917B5"/>
    <w:rsid w:val="00692058"/>
    <w:rsid w:val="00692563"/>
    <w:rsid w:val="0069290A"/>
    <w:rsid w:val="00692C03"/>
    <w:rsid w:val="00693461"/>
    <w:rsid w:val="00693552"/>
    <w:rsid w:val="006936E2"/>
    <w:rsid w:val="00696D15"/>
    <w:rsid w:val="00697501"/>
    <w:rsid w:val="0069762C"/>
    <w:rsid w:val="00697665"/>
    <w:rsid w:val="0069775F"/>
    <w:rsid w:val="006979AC"/>
    <w:rsid w:val="006A0E18"/>
    <w:rsid w:val="006A0F99"/>
    <w:rsid w:val="006A1094"/>
    <w:rsid w:val="006A10C9"/>
    <w:rsid w:val="006A1782"/>
    <w:rsid w:val="006A1931"/>
    <w:rsid w:val="006A1C0F"/>
    <w:rsid w:val="006A2FE7"/>
    <w:rsid w:val="006A4B62"/>
    <w:rsid w:val="006A5371"/>
    <w:rsid w:val="006A7D95"/>
    <w:rsid w:val="006B03B6"/>
    <w:rsid w:val="006B04FA"/>
    <w:rsid w:val="006B0DB4"/>
    <w:rsid w:val="006B21CD"/>
    <w:rsid w:val="006B2F86"/>
    <w:rsid w:val="006B30FE"/>
    <w:rsid w:val="006B3557"/>
    <w:rsid w:val="006B4191"/>
    <w:rsid w:val="006B41D9"/>
    <w:rsid w:val="006B462D"/>
    <w:rsid w:val="006B482B"/>
    <w:rsid w:val="006B7713"/>
    <w:rsid w:val="006B7761"/>
    <w:rsid w:val="006B7ABB"/>
    <w:rsid w:val="006C04DA"/>
    <w:rsid w:val="006C15E6"/>
    <w:rsid w:val="006C1825"/>
    <w:rsid w:val="006C1B1A"/>
    <w:rsid w:val="006C2496"/>
    <w:rsid w:val="006C2ABD"/>
    <w:rsid w:val="006C2D7E"/>
    <w:rsid w:val="006C31AD"/>
    <w:rsid w:val="006C370D"/>
    <w:rsid w:val="006C3C7C"/>
    <w:rsid w:val="006C407C"/>
    <w:rsid w:val="006C4968"/>
    <w:rsid w:val="006C58CC"/>
    <w:rsid w:val="006C5A3F"/>
    <w:rsid w:val="006C5E16"/>
    <w:rsid w:val="006C650B"/>
    <w:rsid w:val="006C75EC"/>
    <w:rsid w:val="006C775A"/>
    <w:rsid w:val="006C7B67"/>
    <w:rsid w:val="006D2740"/>
    <w:rsid w:val="006D28CC"/>
    <w:rsid w:val="006D2BDB"/>
    <w:rsid w:val="006D3BAC"/>
    <w:rsid w:val="006D3CBF"/>
    <w:rsid w:val="006D3E28"/>
    <w:rsid w:val="006D4636"/>
    <w:rsid w:val="006D491A"/>
    <w:rsid w:val="006D4FB0"/>
    <w:rsid w:val="006D57B8"/>
    <w:rsid w:val="006D7B85"/>
    <w:rsid w:val="006D7FA4"/>
    <w:rsid w:val="006E07C3"/>
    <w:rsid w:val="006E0D1D"/>
    <w:rsid w:val="006E0EE7"/>
    <w:rsid w:val="006E1921"/>
    <w:rsid w:val="006E251E"/>
    <w:rsid w:val="006E2626"/>
    <w:rsid w:val="006E3FD3"/>
    <w:rsid w:val="006E4EFE"/>
    <w:rsid w:val="006E5802"/>
    <w:rsid w:val="006E67BC"/>
    <w:rsid w:val="006E762A"/>
    <w:rsid w:val="006F04CB"/>
    <w:rsid w:val="006F100E"/>
    <w:rsid w:val="006F12EA"/>
    <w:rsid w:val="006F2EBD"/>
    <w:rsid w:val="006F30A2"/>
    <w:rsid w:val="006F33A6"/>
    <w:rsid w:val="006F4297"/>
    <w:rsid w:val="006F4831"/>
    <w:rsid w:val="006F4A10"/>
    <w:rsid w:val="006F5367"/>
    <w:rsid w:val="006F731B"/>
    <w:rsid w:val="00700800"/>
    <w:rsid w:val="00700E27"/>
    <w:rsid w:val="007013B3"/>
    <w:rsid w:val="00701BED"/>
    <w:rsid w:val="0070204A"/>
    <w:rsid w:val="0070332E"/>
    <w:rsid w:val="0070372C"/>
    <w:rsid w:val="007046DD"/>
    <w:rsid w:val="00704F3F"/>
    <w:rsid w:val="00704FEE"/>
    <w:rsid w:val="0070571E"/>
    <w:rsid w:val="007060F3"/>
    <w:rsid w:val="00706DF6"/>
    <w:rsid w:val="0070713B"/>
    <w:rsid w:val="007077A9"/>
    <w:rsid w:val="00710608"/>
    <w:rsid w:val="007109B8"/>
    <w:rsid w:val="00710CFE"/>
    <w:rsid w:val="00711184"/>
    <w:rsid w:val="0071169A"/>
    <w:rsid w:val="00711AAE"/>
    <w:rsid w:val="0071206F"/>
    <w:rsid w:val="007136B2"/>
    <w:rsid w:val="00713F5A"/>
    <w:rsid w:val="007143C2"/>
    <w:rsid w:val="00714551"/>
    <w:rsid w:val="007147CB"/>
    <w:rsid w:val="00714D62"/>
    <w:rsid w:val="0071741C"/>
    <w:rsid w:val="00717424"/>
    <w:rsid w:val="00720105"/>
    <w:rsid w:val="00720EBD"/>
    <w:rsid w:val="007215EB"/>
    <w:rsid w:val="00721AE6"/>
    <w:rsid w:val="00722032"/>
    <w:rsid w:val="0072235F"/>
    <w:rsid w:val="007225A4"/>
    <w:rsid w:val="00722AAA"/>
    <w:rsid w:val="00723011"/>
    <w:rsid w:val="00723214"/>
    <w:rsid w:val="00723667"/>
    <w:rsid w:val="00724318"/>
    <w:rsid w:val="00724702"/>
    <w:rsid w:val="007249D9"/>
    <w:rsid w:val="007251A2"/>
    <w:rsid w:val="00726A5D"/>
    <w:rsid w:val="00726E27"/>
    <w:rsid w:val="00726FED"/>
    <w:rsid w:val="0072712E"/>
    <w:rsid w:val="007273D4"/>
    <w:rsid w:val="00730105"/>
    <w:rsid w:val="00730757"/>
    <w:rsid w:val="00731D2A"/>
    <w:rsid w:val="00732D5D"/>
    <w:rsid w:val="00733ED9"/>
    <w:rsid w:val="00735F4E"/>
    <w:rsid w:val="0073715C"/>
    <w:rsid w:val="00737B82"/>
    <w:rsid w:val="00737E83"/>
    <w:rsid w:val="00740253"/>
    <w:rsid w:val="00740A24"/>
    <w:rsid w:val="00740D2E"/>
    <w:rsid w:val="0074200B"/>
    <w:rsid w:val="007432BC"/>
    <w:rsid w:val="00743D95"/>
    <w:rsid w:val="00744292"/>
    <w:rsid w:val="0074466E"/>
    <w:rsid w:val="0074549F"/>
    <w:rsid w:val="00745FBF"/>
    <w:rsid w:val="00746213"/>
    <w:rsid w:val="0074665A"/>
    <w:rsid w:val="007466B3"/>
    <w:rsid w:val="007469D4"/>
    <w:rsid w:val="00746FA9"/>
    <w:rsid w:val="00747736"/>
    <w:rsid w:val="00747F4C"/>
    <w:rsid w:val="00750456"/>
    <w:rsid w:val="00750583"/>
    <w:rsid w:val="007519FA"/>
    <w:rsid w:val="00751A34"/>
    <w:rsid w:val="0075220C"/>
    <w:rsid w:val="0075244D"/>
    <w:rsid w:val="00753A90"/>
    <w:rsid w:val="00754239"/>
    <w:rsid w:val="00754C1B"/>
    <w:rsid w:val="00754E2C"/>
    <w:rsid w:val="00755349"/>
    <w:rsid w:val="00755718"/>
    <w:rsid w:val="00755CC4"/>
    <w:rsid w:val="00756988"/>
    <w:rsid w:val="00756C50"/>
    <w:rsid w:val="00756CB4"/>
    <w:rsid w:val="00756E2A"/>
    <w:rsid w:val="00757146"/>
    <w:rsid w:val="0075798E"/>
    <w:rsid w:val="00757E53"/>
    <w:rsid w:val="00760653"/>
    <w:rsid w:val="00760E80"/>
    <w:rsid w:val="0076146A"/>
    <w:rsid w:val="007614C2"/>
    <w:rsid w:val="00761667"/>
    <w:rsid w:val="007634EB"/>
    <w:rsid w:val="0076390F"/>
    <w:rsid w:val="007642CC"/>
    <w:rsid w:val="007647A1"/>
    <w:rsid w:val="00764B05"/>
    <w:rsid w:val="00764C77"/>
    <w:rsid w:val="0076535D"/>
    <w:rsid w:val="00765DF7"/>
    <w:rsid w:val="007661D4"/>
    <w:rsid w:val="0076687F"/>
    <w:rsid w:val="00766C0B"/>
    <w:rsid w:val="007674B0"/>
    <w:rsid w:val="00767591"/>
    <w:rsid w:val="00770445"/>
    <w:rsid w:val="00770843"/>
    <w:rsid w:val="00770BBB"/>
    <w:rsid w:val="0077192C"/>
    <w:rsid w:val="00771F91"/>
    <w:rsid w:val="00773936"/>
    <w:rsid w:val="007758EA"/>
    <w:rsid w:val="00775A20"/>
    <w:rsid w:val="0077686C"/>
    <w:rsid w:val="00776C96"/>
    <w:rsid w:val="007774FC"/>
    <w:rsid w:val="00777EEC"/>
    <w:rsid w:val="007803E4"/>
    <w:rsid w:val="00780872"/>
    <w:rsid w:val="00781191"/>
    <w:rsid w:val="007814D5"/>
    <w:rsid w:val="007818E2"/>
    <w:rsid w:val="00784602"/>
    <w:rsid w:val="0078468F"/>
    <w:rsid w:val="00785726"/>
    <w:rsid w:val="00785C9D"/>
    <w:rsid w:val="0078611B"/>
    <w:rsid w:val="00786630"/>
    <w:rsid w:val="007867F9"/>
    <w:rsid w:val="00786B22"/>
    <w:rsid w:val="007876EF"/>
    <w:rsid w:val="00790573"/>
    <w:rsid w:val="0079169A"/>
    <w:rsid w:val="00791E4B"/>
    <w:rsid w:val="007934AB"/>
    <w:rsid w:val="007950C7"/>
    <w:rsid w:val="007950CA"/>
    <w:rsid w:val="007955D3"/>
    <w:rsid w:val="007961F7"/>
    <w:rsid w:val="007964AA"/>
    <w:rsid w:val="007964DB"/>
    <w:rsid w:val="00797012"/>
    <w:rsid w:val="00797BB2"/>
    <w:rsid w:val="00797C87"/>
    <w:rsid w:val="007A1727"/>
    <w:rsid w:val="007A1A36"/>
    <w:rsid w:val="007A2627"/>
    <w:rsid w:val="007A3BEE"/>
    <w:rsid w:val="007A43E2"/>
    <w:rsid w:val="007A4F7D"/>
    <w:rsid w:val="007A5094"/>
    <w:rsid w:val="007A5542"/>
    <w:rsid w:val="007A6289"/>
    <w:rsid w:val="007A638B"/>
    <w:rsid w:val="007A65FE"/>
    <w:rsid w:val="007A6FDC"/>
    <w:rsid w:val="007A7563"/>
    <w:rsid w:val="007A7DFD"/>
    <w:rsid w:val="007B0070"/>
    <w:rsid w:val="007B048B"/>
    <w:rsid w:val="007B29FA"/>
    <w:rsid w:val="007B3451"/>
    <w:rsid w:val="007B36C0"/>
    <w:rsid w:val="007B38F4"/>
    <w:rsid w:val="007B4515"/>
    <w:rsid w:val="007B46F9"/>
    <w:rsid w:val="007B5F66"/>
    <w:rsid w:val="007B6028"/>
    <w:rsid w:val="007B6B3D"/>
    <w:rsid w:val="007B75A7"/>
    <w:rsid w:val="007C0206"/>
    <w:rsid w:val="007C0546"/>
    <w:rsid w:val="007C0BBF"/>
    <w:rsid w:val="007C11C3"/>
    <w:rsid w:val="007C1380"/>
    <w:rsid w:val="007C19D4"/>
    <w:rsid w:val="007C1F2A"/>
    <w:rsid w:val="007C2021"/>
    <w:rsid w:val="007C221A"/>
    <w:rsid w:val="007C280C"/>
    <w:rsid w:val="007C2843"/>
    <w:rsid w:val="007C3CE8"/>
    <w:rsid w:val="007C3F22"/>
    <w:rsid w:val="007C3F43"/>
    <w:rsid w:val="007C4294"/>
    <w:rsid w:val="007C4913"/>
    <w:rsid w:val="007C4D1F"/>
    <w:rsid w:val="007C4FDF"/>
    <w:rsid w:val="007C5509"/>
    <w:rsid w:val="007C5EE9"/>
    <w:rsid w:val="007C6CD6"/>
    <w:rsid w:val="007C6CDA"/>
    <w:rsid w:val="007C74CB"/>
    <w:rsid w:val="007C763F"/>
    <w:rsid w:val="007C7D30"/>
    <w:rsid w:val="007D0E99"/>
    <w:rsid w:val="007D11B5"/>
    <w:rsid w:val="007D263C"/>
    <w:rsid w:val="007D2DC2"/>
    <w:rsid w:val="007D366C"/>
    <w:rsid w:val="007D423C"/>
    <w:rsid w:val="007D4FCE"/>
    <w:rsid w:val="007D5094"/>
    <w:rsid w:val="007D5445"/>
    <w:rsid w:val="007D57C3"/>
    <w:rsid w:val="007D5C79"/>
    <w:rsid w:val="007D5DF0"/>
    <w:rsid w:val="007D66DD"/>
    <w:rsid w:val="007D68EC"/>
    <w:rsid w:val="007D7281"/>
    <w:rsid w:val="007D7C3C"/>
    <w:rsid w:val="007E0E4B"/>
    <w:rsid w:val="007E1035"/>
    <w:rsid w:val="007E1A5C"/>
    <w:rsid w:val="007E214D"/>
    <w:rsid w:val="007E284A"/>
    <w:rsid w:val="007E2F71"/>
    <w:rsid w:val="007E3797"/>
    <w:rsid w:val="007E5F92"/>
    <w:rsid w:val="007E6727"/>
    <w:rsid w:val="007E6FC0"/>
    <w:rsid w:val="007E74FE"/>
    <w:rsid w:val="007F0A31"/>
    <w:rsid w:val="007F0CB9"/>
    <w:rsid w:val="007F1F10"/>
    <w:rsid w:val="007F24DE"/>
    <w:rsid w:val="007F2588"/>
    <w:rsid w:val="007F2709"/>
    <w:rsid w:val="007F31BE"/>
    <w:rsid w:val="007F35CF"/>
    <w:rsid w:val="007F3D45"/>
    <w:rsid w:val="007F4064"/>
    <w:rsid w:val="007F4160"/>
    <w:rsid w:val="007F4535"/>
    <w:rsid w:val="007F487D"/>
    <w:rsid w:val="007F54DA"/>
    <w:rsid w:val="007F59DB"/>
    <w:rsid w:val="007F6289"/>
    <w:rsid w:val="007F632B"/>
    <w:rsid w:val="007F678B"/>
    <w:rsid w:val="007F712C"/>
    <w:rsid w:val="007F7A22"/>
    <w:rsid w:val="008001E7"/>
    <w:rsid w:val="00800BC2"/>
    <w:rsid w:val="0080109F"/>
    <w:rsid w:val="008014EC"/>
    <w:rsid w:val="00801FCD"/>
    <w:rsid w:val="0080200E"/>
    <w:rsid w:val="00802C6D"/>
    <w:rsid w:val="008056F5"/>
    <w:rsid w:val="00805701"/>
    <w:rsid w:val="0080587E"/>
    <w:rsid w:val="0080696C"/>
    <w:rsid w:val="00806AE9"/>
    <w:rsid w:val="0081086B"/>
    <w:rsid w:val="00810C6D"/>
    <w:rsid w:val="0081211B"/>
    <w:rsid w:val="00812FA8"/>
    <w:rsid w:val="008134AA"/>
    <w:rsid w:val="0081435C"/>
    <w:rsid w:val="00814BBE"/>
    <w:rsid w:val="00814E17"/>
    <w:rsid w:val="008159CB"/>
    <w:rsid w:val="0081696E"/>
    <w:rsid w:val="008169C7"/>
    <w:rsid w:val="00817323"/>
    <w:rsid w:val="00817942"/>
    <w:rsid w:val="00820E7A"/>
    <w:rsid w:val="00821C23"/>
    <w:rsid w:val="00821ED6"/>
    <w:rsid w:val="00822538"/>
    <w:rsid w:val="00822607"/>
    <w:rsid w:val="008237E8"/>
    <w:rsid w:val="00824958"/>
    <w:rsid w:val="008252D8"/>
    <w:rsid w:val="008257D4"/>
    <w:rsid w:val="00826934"/>
    <w:rsid w:val="00826E4F"/>
    <w:rsid w:val="0082718A"/>
    <w:rsid w:val="008272F5"/>
    <w:rsid w:val="00827EB0"/>
    <w:rsid w:val="008300E8"/>
    <w:rsid w:val="008305D3"/>
    <w:rsid w:val="00830CA8"/>
    <w:rsid w:val="008310EF"/>
    <w:rsid w:val="00831664"/>
    <w:rsid w:val="00832F52"/>
    <w:rsid w:val="00833A73"/>
    <w:rsid w:val="0083512D"/>
    <w:rsid w:val="008369A2"/>
    <w:rsid w:val="00836A2B"/>
    <w:rsid w:val="008371C1"/>
    <w:rsid w:val="008373F0"/>
    <w:rsid w:val="00837AEA"/>
    <w:rsid w:val="008403D8"/>
    <w:rsid w:val="008414D7"/>
    <w:rsid w:val="00841B40"/>
    <w:rsid w:val="00841C8A"/>
    <w:rsid w:val="008422E1"/>
    <w:rsid w:val="00842571"/>
    <w:rsid w:val="008425E1"/>
    <w:rsid w:val="00842AFD"/>
    <w:rsid w:val="00843122"/>
    <w:rsid w:val="00844CFD"/>
    <w:rsid w:val="0084573E"/>
    <w:rsid w:val="00845953"/>
    <w:rsid w:val="00845971"/>
    <w:rsid w:val="00845985"/>
    <w:rsid w:val="008470C1"/>
    <w:rsid w:val="008479EB"/>
    <w:rsid w:val="00847A17"/>
    <w:rsid w:val="00850A5F"/>
    <w:rsid w:val="00850B29"/>
    <w:rsid w:val="00851688"/>
    <w:rsid w:val="00851D7E"/>
    <w:rsid w:val="008521D9"/>
    <w:rsid w:val="00852273"/>
    <w:rsid w:val="00852D98"/>
    <w:rsid w:val="00853E71"/>
    <w:rsid w:val="00854C47"/>
    <w:rsid w:val="0085584F"/>
    <w:rsid w:val="00855CB3"/>
    <w:rsid w:val="00855E8A"/>
    <w:rsid w:val="0085650C"/>
    <w:rsid w:val="00856B93"/>
    <w:rsid w:val="00857F6C"/>
    <w:rsid w:val="008602C2"/>
    <w:rsid w:val="00860777"/>
    <w:rsid w:val="00860A8B"/>
    <w:rsid w:val="0086199A"/>
    <w:rsid w:val="00861AE9"/>
    <w:rsid w:val="00861F97"/>
    <w:rsid w:val="008621DA"/>
    <w:rsid w:val="00862EAB"/>
    <w:rsid w:val="00863324"/>
    <w:rsid w:val="00863328"/>
    <w:rsid w:val="00864CC4"/>
    <w:rsid w:val="0086569F"/>
    <w:rsid w:val="00865860"/>
    <w:rsid w:val="00867210"/>
    <w:rsid w:val="00867228"/>
    <w:rsid w:val="00867C99"/>
    <w:rsid w:val="00870D22"/>
    <w:rsid w:val="008723B1"/>
    <w:rsid w:val="0087286E"/>
    <w:rsid w:val="00873B9B"/>
    <w:rsid w:val="00873CC8"/>
    <w:rsid w:val="00873DE3"/>
    <w:rsid w:val="008740AE"/>
    <w:rsid w:val="0087448E"/>
    <w:rsid w:val="00874547"/>
    <w:rsid w:val="00874616"/>
    <w:rsid w:val="008748BA"/>
    <w:rsid w:val="00875888"/>
    <w:rsid w:val="008764D5"/>
    <w:rsid w:val="0087698C"/>
    <w:rsid w:val="00876AAB"/>
    <w:rsid w:val="00877F66"/>
    <w:rsid w:val="00880C1D"/>
    <w:rsid w:val="0088107F"/>
    <w:rsid w:val="008818CE"/>
    <w:rsid w:val="00881B34"/>
    <w:rsid w:val="00881CA8"/>
    <w:rsid w:val="00881F48"/>
    <w:rsid w:val="008822E6"/>
    <w:rsid w:val="00882A35"/>
    <w:rsid w:val="00882B7C"/>
    <w:rsid w:val="00882E2F"/>
    <w:rsid w:val="0088301F"/>
    <w:rsid w:val="008833C1"/>
    <w:rsid w:val="0088392F"/>
    <w:rsid w:val="00883A28"/>
    <w:rsid w:val="0088467C"/>
    <w:rsid w:val="00884CCB"/>
    <w:rsid w:val="00885231"/>
    <w:rsid w:val="008858B5"/>
    <w:rsid w:val="00885F0D"/>
    <w:rsid w:val="00886031"/>
    <w:rsid w:val="008865FA"/>
    <w:rsid w:val="00886629"/>
    <w:rsid w:val="008866C4"/>
    <w:rsid w:val="00886A6A"/>
    <w:rsid w:val="00887B27"/>
    <w:rsid w:val="00887EAB"/>
    <w:rsid w:val="0089005B"/>
    <w:rsid w:val="00890240"/>
    <w:rsid w:val="00890849"/>
    <w:rsid w:val="00890D77"/>
    <w:rsid w:val="00890D94"/>
    <w:rsid w:val="00892792"/>
    <w:rsid w:val="00893A15"/>
    <w:rsid w:val="008949D2"/>
    <w:rsid w:val="008958DF"/>
    <w:rsid w:val="00895C71"/>
    <w:rsid w:val="008962BB"/>
    <w:rsid w:val="008970FF"/>
    <w:rsid w:val="00897162"/>
    <w:rsid w:val="00897715"/>
    <w:rsid w:val="008978EA"/>
    <w:rsid w:val="008978EE"/>
    <w:rsid w:val="00897D1E"/>
    <w:rsid w:val="008A00F6"/>
    <w:rsid w:val="008A157C"/>
    <w:rsid w:val="008A20A7"/>
    <w:rsid w:val="008A2BE0"/>
    <w:rsid w:val="008A35D1"/>
    <w:rsid w:val="008A3B17"/>
    <w:rsid w:val="008A3D35"/>
    <w:rsid w:val="008A4368"/>
    <w:rsid w:val="008A4743"/>
    <w:rsid w:val="008A4909"/>
    <w:rsid w:val="008A4EDC"/>
    <w:rsid w:val="008A51F4"/>
    <w:rsid w:val="008A7911"/>
    <w:rsid w:val="008A7992"/>
    <w:rsid w:val="008A7E74"/>
    <w:rsid w:val="008B0298"/>
    <w:rsid w:val="008B032A"/>
    <w:rsid w:val="008B0726"/>
    <w:rsid w:val="008B0984"/>
    <w:rsid w:val="008B1310"/>
    <w:rsid w:val="008B1837"/>
    <w:rsid w:val="008B19DD"/>
    <w:rsid w:val="008B21D1"/>
    <w:rsid w:val="008B34D8"/>
    <w:rsid w:val="008B3989"/>
    <w:rsid w:val="008B4A5B"/>
    <w:rsid w:val="008B4D3B"/>
    <w:rsid w:val="008B4D58"/>
    <w:rsid w:val="008B4E08"/>
    <w:rsid w:val="008B4EBA"/>
    <w:rsid w:val="008B508C"/>
    <w:rsid w:val="008B55AB"/>
    <w:rsid w:val="008B57A2"/>
    <w:rsid w:val="008B7216"/>
    <w:rsid w:val="008C0B40"/>
    <w:rsid w:val="008C0E08"/>
    <w:rsid w:val="008C1D39"/>
    <w:rsid w:val="008C1EAA"/>
    <w:rsid w:val="008C258B"/>
    <w:rsid w:val="008C291D"/>
    <w:rsid w:val="008C2DA7"/>
    <w:rsid w:val="008C302D"/>
    <w:rsid w:val="008C33B9"/>
    <w:rsid w:val="008C4F8D"/>
    <w:rsid w:val="008C64B7"/>
    <w:rsid w:val="008C64F7"/>
    <w:rsid w:val="008C750A"/>
    <w:rsid w:val="008D03FB"/>
    <w:rsid w:val="008D0426"/>
    <w:rsid w:val="008D0791"/>
    <w:rsid w:val="008D176D"/>
    <w:rsid w:val="008D2699"/>
    <w:rsid w:val="008D2794"/>
    <w:rsid w:val="008D2A5A"/>
    <w:rsid w:val="008D4564"/>
    <w:rsid w:val="008D47A2"/>
    <w:rsid w:val="008D69EB"/>
    <w:rsid w:val="008D6D02"/>
    <w:rsid w:val="008D713B"/>
    <w:rsid w:val="008D719B"/>
    <w:rsid w:val="008E008F"/>
    <w:rsid w:val="008E04FC"/>
    <w:rsid w:val="008E109E"/>
    <w:rsid w:val="008E133C"/>
    <w:rsid w:val="008E1F9A"/>
    <w:rsid w:val="008E36C8"/>
    <w:rsid w:val="008E4D24"/>
    <w:rsid w:val="008E5063"/>
    <w:rsid w:val="008E533A"/>
    <w:rsid w:val="008E5817"/>
    <w:rsid w:val="008E5867"/>
    <w:rsid w:val="008E5B8F"/>
    <w:rsid w:val="008E5D11"/>
    <w:rsid w:val="008E5FDC"/>
    <w:rsid w:val="008E68FA"/>
    <w:rsid w:val="008E6B76"/>
    <w:rsid w:val="008E7B02"/>
    <w:rsid w:val="008E7D71"/>
    <w:rsid w:val="008E7FDB"/>
    <w:rsid w:val="008F1817"/>
    <w:rsid w:val="008F18EB"/>
    <w:rsid w:val="008F18F7"/>
    <w:rsid w:val="008F2613"/>
    <w:rsid w:val="008F300B"/>
    <w:rsid w:val="008F32DD"/>
    <w:rsid w:val="008F4AB1"/>
    <w:rsid w:val="008F4FBC"/>
    <w:rsid w:val="008F525F"/>
    <w:rsid w:val="008F5E46"/>
    <w:rsid w:val="008F67DC"/>
    <w:rsid w:val="008F6F00"/>
    <w:rsid w:val="008F77C5"/>
    <w:rsid w:val="008F7C16"/>
    <w:rsid w:val="008F7D6B"/>
    <w:rsid w:val="00900A96"/>
    <w:rsid w:val="009014EE"/>
    <w:rsid w:val="009015AF"/>
    <w:rsid w:val="009021D4"/>
    <w:rsid w:val="00902360"/>
    <w:rsid w:val="00902EC4"/>
    <w:rsid w:val="00903422"/>
    <w:rsid w:val="00903BD1"/>
    <w:rsid w:val="00903C04"/>
    <w:rsid w:val="00903CCF"/>
    <w:rsid w:val="0090427D"/>
    <w:rsid w:val="00904F4B"/>
    <w:rsid w:val="00905170"/>
    <w:rsid w:val="00905421"/>
    <w:rsid w:val="0090578E"/>
    <w:rsid w:val="0090649C"/>
    <w:rsid w:val="009065CF"/>
    <w:rsid w:val="00906787"/>
    <w:rsid w:val="00906925"/>
    <w:rsid w:val="00906EF8"/>
    <w:rsid w:val="00907386"/>
    <w:rsid w:val="00907B0B"/>
    <w:rsid w:val="00907D29"/>
    <w:rsid w:val="00910672"/>
    <w:rsid w:val="00910CF9"/>
    <w:rsid w:val="0091285C"/>
    <w:rsid w:val="00914302"/>
    <w:rsid w:val="00914B24"/>
    <w:rsid w:val="00915FB8"/>
    <w:rsid w:val="0091613B"/>
    <w:rsid w:val="00916A9C"/>
    <w:rsid w:val="0091768F"/>
    <w:rsid w:val="00917D01"/>
    <w:rsid w:val="00920B22"/>
    <w:rsid w:val="0092101A"/>
    <w:rsid w:val="009216BA"/>
    <w:rsid w:val="00921C52"/>
    <w:rsid w:val="00921D1D"/>
    <w:rsid w:val="009225F8"/>
    <w:rsid w:val="00922A07"/>
    <w:rsid w:val="00922A4D"/>
    <w:rsid w:val="00924152"/>
    <w:rsid w:val="00924BA4"/>
    <w:rsid w:val="00925AC8"/>
    <w:rsid w:val="00926194"/>
    <w:rsid w:val="009262ED"/>
    <w:rsid w:val="00930BCE"/>
    <w:rsid w:val="009320BA"/>
    <w:rsid w:val="0093242F"/>
    <w:rsid w:val="00933E05"/>
    <w:rsid w:val="009348B2"/>
    <w:rsid w:val="00935C6B"/>
    <w:rsid w:val="00936098"/>
    <w:rsid w:val="00940291"/>
    <w:rsid w:val="00940594"/>
    <w:rsid w:val="0094077E"/>
    <w:rsid w:val="0094081F"/>
    <w:rsid w:val="00940977"/>
    <w:rsid w:val="00940B16"/>
    <w:rsid w:val="009410C2"/>
    <w:rsid w:val="009417B1"/>
    <w:rsid w:val="0094193C"/>
    <w:rsid w:val="009428E3"/>
    <w:rsid w:val="00943B7C"/>
    <w:rsid w:val="00944CF1"/>
    <w:rsid w:val="009453C1"/>
    <w:rsid w:val="0094627B"/>
    <w:rsid w:val="0094632B"/>
    <w:rsid w:val="009502C7"/>
    <w:rsid w:val="009516D3"/>
    <w:rsid w:val="00951E2B"/>
    <w:rsid w:val="00953C06"/>
    <w:rsid w:val="00953D39"/>
    <w:rsid w:val="00954A3E"/>
    <w:rsid w:val="00955D1F"/>
    <w:rsid w:val="00956A4D"/>
    <w:rsid w:val="009603F4"/>
    <w:rsid w:val="00960437"/>
    <w:rsid w:val="00960B7D"/>
    <w:rsid w:val="00960C9B"/>
    <w:rsid w:val="009621F3"/>
    <w:rsid w:val="00962864"/>
    <w:rsid w:val="0096313E"/>
    <w:rsid w:val="009631CB"/>
    <w:rsid w:val="009637A2"/>
    <w:rsid w:val="00963AF6"/>
    <w:rsid w:val="00963E8D"/>
    <w:rsid w:val="00964084"/>
    <w:rsid w:val="009652A2"/>
    <w:rsid w:val="00966651"/>
    <w:rsid w:val="009669DE"/>
    <w:rsid w:val="00966BE9"/>
    <w:rsid w:val="00967FC1"/>
    <w:rsid w:val="00970326"/>
    <w:rsid w:val="009706B2"/>
    <w:rsid w:val="00970F9F"/>
    <w:rsid w:val="0097107E"/>
    <w:rsid w:val="00971255"/>
    <w:rsid w:val="00972AA3"/>
    <w:rsid w:val="00973040"/>
    <w:rsid w:val="00973F00"/>
    <w:rsid w:val="00974E0C"/>
    <w:rsid w:val="009757B5"/>
    <w:rsid w:val="009762A1"/>
    <w:rsid w:val="00976CEE"/>
    <w:rsid w:val="0098009B"/>
    <w:rsid w:val="00981329"/>
    <w:rsid w:val="0098178C"/>
    <w:rsid w:val="009820A8"/>
    <w:rsid w:val="00982EA8"/>
    <w:rsid w:val="00984AD5"/>
    <w:rsid w:val="00984C22"/>
    <w:rsid w:val="00984E22"/>
    <w:rsid w:val="009856EA"/>
    <w:rsid w:val="00985DE5"/>
    <w:rsid w:val="00985E11"/>
    <w:rsid w:val="00985F40"/>
    <w:rsid w:val="009864AB"/>
    <w:rsid w:val="009869A9"/>
    <w:rsid w:val="0099001A"/>
    <w:rsid w:val="009911A7"/>
    <w:rsid w:val="00991F53"/>
    <w:rsid w:val="00992807"/>
    <w:rsid w:val="00992908"/>
    <w:rsid w:val="009939E8"/>
    <w:rsid w:val="0099423A"/>
    <w:rsid w:val="00995CDE"/>
    <w:rsid w:val="00995EE3"/>
    <w:rsid w:val="0099749C"/>
    <w:rsid w:val="009A037C"/>
    <w:rsid w:val="009A0552"/>
    <w:rsid w:val="009A1539"/>
    <w:rsid w:val="009A1570"/>
    <w:rsid w:val="009A18A9"/>
    <w:rsid w:val="009A20AC"/>
    <w:rsid w:val="009A35BE"/>
    <w:rsid w:val="009A37EA"/>
    <w:rsid w:val="009A39A0"/>
    <w:rsid w:val="009A3E9F"/>
    <w:rsid w:val="009A569F"/>
    <w:rsid w:val="009A63A1"/>
    <w:rsid w:val="009A66A1"/>
    <w:rsid w:val="009A6F9E"/>
    <w:rsid w:val="009A6FAC"/>
    <w:rsid w:val="009A7250"/>
    <w:rsid w:val="009A7278"/>
    <w:rsid w:val="009A7E7D"/>
    <w:rsid w:val="009B0263"/>
    <w:rsid w:val="009B099C"/>
    <w:rsid w:val="009B0C3B"/>
    <w:rsid w:val="009B0D45"/>
    <w:rsid w:val="009B1D2F"/>
    <w:rsid w:val="009B1DCE"/>
    <w:rsid w:val="009B1F22"/>
    <w:rsid w:val="009B3C3C"/>
    <w:rsid w:val="009B3EFC"/>
    <w:rsid w:val="009B40F3"/>
    <w:rsid w:val="009B4551"/>
    <w:rsid w:val="009B4FCE"/>
    <w:rsid w:val="009B5652"/>
    <w:rsid w:val="009B6E88"/>
    <w:rsid w:val="009B725A"/>
    <w:rsid w:val="009B7C86"/>
    <w:rsid w:val="009C021B"/>
    <w:rsid w:val="009C0B4E"/>
    <w:rsid w:val="009C1111"/>
    <w:rsid w:val="009C1BB4"/>
    <w:rsid w:val="009C1BFD"/>
    <w:rsid w:val="009C1F41"/>
    <w:rsid w:val="009C23D6"/>
    <w:rsid w:val="009C2530"/>
    <w:rsid w:val="009C3E7C"/>
    <w:rsid w:val="009C4DBB"/>
    <w:rsid w:val="009C5287"/>
    <w:rsid w:val="009C601B"/>
    <w:rsid w:val="009C61B0"/>
    <w:rsid w:val="009C67DC"/>
    <w:rsid w:val="009C6B05"/>
    <w:rsid w:val="009C6F01"/>
    <w:rsid w:val="009C7883"/>
    <w:rsid w:val="009C78B8"/>
    <w:rsid w:val="009C7956"/>
    <w:rsid w:val="009D1038"/>
    <w:rsid w:val="009D16ED"/>
    <w:rsid w:val="009D1D72"/>
    <w:rsid w:val="009D2444"/>
    <w:rsid w:val="009D27DA"/>
    <w:rsid w:val="009D287E"/>
    <w:rsid w:val="009D2E60"/>
    <w:rsid w:val="009D482F"/>
    <w:rsid w:val="009D55E3"/>
    <w:rsid w:val="009D5642"/>
    <w:rsid w:val="009D5AE5"/>
    <w:rsid w:val="009D5EE0"/>
    <w:rsid w:val="009E02F3"/>
    <w:rsid w:val="009E0855"/>
    <w:rsid w:val="009E0930"/>
    <w:rsid w:val="009E12C7"/>
    <w:rsid w:val="009E19B2"/>
    <w:rsid w:val="009E19C7"/>
    <w:rsid w:val="009E2018"/>
    <w:rsid w:val="009E260D"/>
    <w:rsid w:val="009E28F5"/>
    <w:rsid w:val="009E2E58"/>
    <w:rsid w:val="009E3C91"/>
    <w:rsid w:val="009E451B"/>
    <w:rsid w:val="009E49DA"/>
    <w:rsid w:val="009E4DE4"/>
    <w:rsid w:val="009E55B8"/>
    <w:rsid w:val="009E57AF"/>
    <w:rsid w:val="009E5CFF"/>
    <w:rsid w:val="009E5DEC"/>
    <w:rsid w:val="009E7965"/>
    <w:rsid w:val="009F0540"/>
    <w:rsid w:val="009F060B"/>
    <w:rsid w:val="009F0A79"/>
    <w:rsid w:val="009F1B61"/>
    <w:rsid w:val="009F1BE5"/>
    <w:rsid w:val="009F1CEE"/>
    <w:rsid w:val="009F1FF1"/>
    <w:rsid w:val="009F296C"/>
    <w:rsid w:val="009F2BFC"/>
    <w:rsid w:val="009F36D7"/>
    <w:rsid w:val="009F3C25"/>
    <w:rsid w:val="009F43E1"/>
    <w:rsid w:val="009F445A"/>
    <w:rsid w:val="009F4E46"/>
    <w:rsid w:val="009F5419"/>
    <w:rsid w:val="009F54E4"/>
    <w:rsid w:val="009F5A0C"/>
    <w:rsid w:val="009F7080"/>
    <w:rsid w:val="009F7734"/>
    <w:rsid w:val="00A0146E"/>
    <w:rsid w:val="00A01563"/>
    <w:rsid w:val="00A018D4"/>
    <w:rsid w:val="00A021AC"/>
    <w:rsid w:val="00A026A0"/>
    <w:rsid w:val="00A02C4D"/>
    <w:rsid w:val="00A032B0"/>
    <w:rsid w:val="00A03341"/>
    <w:rsid w:val="00A035EB"/>
    <w:rsid w:val="00A037C8"/>
    <w:rsid w:val="00A04520"/>
    <w:rsid w:val="00A04972"/>
    <w:rsid w:val="00A04A5A"/>
    <w:rsid w:val="00A04C82"/>
    <w:rsid w:val="00A06CE0"/>
    <w:rsid w:val="00A077C2"/>
    <w:rsid w:val="00A07FD1"/>
    <w:rsid w:val="00A104D0"/>
    <w:rsid w:val="00A1152E"/>
    <w:rsid w:val="00A115C9"/>
    <w:rsid w:val="00A13C1C"/>
    <w:rsid w:val="00A13D62"/>
    <w:rsid w:val="00A152D9"/>
    <w:rsid w:val="00A1581A"/>
    <w:rsid w:val="00A15F90"/>
    <w:rsid w:val="00A161BE"/>
    <w:rsid w:val="00A1707D"/>
    <w:rsid w:val="00A170D1"/>
    <w:rsid w:val="00A17559"/>
    <w:rsid w:val="00A17C45"/>
    <w:rsid w:val="00A17D08"/>
    <w:rsid w:val="00A17D47"/>
    <w:rsid w:val="00A20362"/>
    <w:rsid w:val="00A206B2"/>
    <w:rsid w:val="00A209CB"/>
    <w:rsid w:val="00A21322"/>
    <w:rsid w:val="00A22146"/>
    <w:rsid w:val="00A224A6"/>
    <w:rsid w:val="00A22647"/>
    <w:rsid w:val="00A22A1E"/>
    <w:rsid w:val="00A22D19"/>
    <w:rsid w:val="00A244A2"/>
    <w:rsid w:val="00A2465C"/>
    <w:rsid w:val="00A25310"/>
    <w:rsid w:val="00A25374"/>
    <w:rsid w:val="00A25539"/>
    <w:rsid w:val="00A25886"/>
    <w:rsid w:val="00A27278"/>
    <w:rsid w:val="00A279CF"/>
    <w:rsid w:val="00A30064"/>
    <w:rsid w:val="00A30346"/>
    <w:rsid w:val="00A30DD3"/>
    <w:rsid w:val="00A320B5"/>
    <w:rsid w:val="00A3242B"/>
    <w:rsid w:val="00A3457E"/>
    <w:rsid w:val="00A35286"/>
    <w:rsid w:val="00A35343"/>
    <w:rsid w:val="00A355B4"/>
    <w:rsid w:val="00A3644E"/>
    <w:rsid w:val="00A37D8F"/>
    <w:rsid w:val="00A37FCE"/>
    <w:rsid w:val="00A402B0"/>
    <w:rsid w:val="00A4076D"/>
    <w:rsid w:val="00A407FC"/>
    <w:rsid w:val="00A4096E"/>
    <w:rsid w:val="00A40F62"/>
    <w:rsid w:val="00A42097"/>
    <w:rsid w:val="00A4246D"/>
    <w:rsid w:val="00A4267F"/>
    <w:rsid w:val="00A4286D"/>
    <w:rsid w:val="00A42ACB"/>
    <w:rsid w:val="00A42B97"/>
    <w:rsid w:val="00A42FA3"/>
    <w:rsid w:val="00A42FB5"/>
    <w:rsid w:val="00A43690"/>
    <w:rsid w:val="00A442DE"/>
    <w:rsid w:val="00A44427"/>
    <w:rsid w:val="00A45C40"/>
    <w:rsid w:val="00A465AF"/>
    <w:rsid w:val="00A4771A"/>
    <w:rsid w:val="00A47872"/>
    <w:rsid w:val="00A5124D"/>
    <w:rsid w:val="00A519D8"/>
    <w:rsid w:val="00A51C3C"/>
    <w:rsid w:val="00A52261"/>
    <w:rsid w:val="00A52FA8"/>
    <w:rsid w:val="00A54507"/>
    <w:rsid w:val="00A55024"/>
    <w:rsid w:val="00A5655F"/>
    <w:rsid w:val="00A57789"/>
    <w:rsid w:val="00A57E0F"/>
    <w:rsid w:val="00A60D90"/>
    <w:rsid w:val="00A60F84"/>
    <w:rsid w:val="00A61077"/>
    <w:rsid w:val="00A61772"/>
    <w:rsid w:val="00A617FE"/>
    <w:rsid w:val="00A619D7"/>
    <w:rsid w:val="00A61EFF"/>
    <w:rsid w:val="00A6232B"/>
    <w:rsid w:val="00A62CFA"/>
    <w:rsid w:val="00A6368D"/>
    <w:rsid w:val="00A64008"/>
    <w:rsid w:val="00A645B2"/>
    <w:rsid w:val="00A650B6"/>
    <w:rsid w:val="00A65316"/>
    <w:rsid w:val="00A66799"/>
    <w:rsid w:val="00A66F04"/>
    <w:rsid w:val="00A66F0E"/>
    <w:rsid w:val="00A6704E"/>
    <w:rsid w:val="00A674B2"/>
    <w:rsid w:val="00A6791C"/>
    <w:rsid w:val="00A710BC"/>
    <w:rsid w:val="00A7199A"/>
    <w:rsid w:val="00A72117"/>
    <w:rsid w:val="00A72B0E"/>
    <w:rsid w:val="00A73338"/>
    <w:rsid w:val="00A73929"/>
    <w:rsid w:val="00A74A49"/>
    <w:rsid w:val="00A756C4"/>
    <w:rsid w:val="00A77AE7"/>
    <w:rsid w:val="00A77C1E"/>
    <w:rsid w:val="00A77DE1"/>
    <w:rsid w:val="00A77DF9"/>
    <w:rsid w:val="00A8018B"/>
    <w:rsid w:val="00A806AB"/>
    <w:rsid w:val="00A8083B"/>
    <w:rsid w:val="00A81395"/>
    <w:rsid w:val="00A827B0"/>
    <w:rsid w:val="00A8389C"/>
    <w:rsid w:val="00A838A2"/>
    <w:rsid w:val="00A8486C"/>
    <w:rsid w:val="00A861B7"/>
    <w:rsid w:val="00A87C02"/>
    <w:rsid w:val="00A904AF"/>
    <w:rsid w:val="00A90669"/>
    <w:rsid w:val="00A918BE"/>
    <w:rsid w:val="00A929B6"/>
    <w:rsid w:val="00A92C1F"/>
    <w:rsid w:val="00A936C5"/>
    <w:rsid w:val="00A93C3C"/>
    <w:rsid w:val="00A93FBC"/>
    <w:rsid w:val="00A94698"/>
    <w:rsid w:val="00A95057"/>
    <w:rsid w:val="00A953F2"/>
    <w:rsid w:val="00A95815"/>
    <w:rsid w:val="00A96E60"/>
    <w:rsid w:val="00AA00E4"/>
    <w:rsid w:val="00AA0AB1"/>
    <w:rsid w:val="00AA147C"/>
    <w:rsid w:val="00AA2EBC"/>
    <w:rsid w:val="00AA3073"/>
    <w:rsid w:val="00AA31EA"/>
    <w:rsid w:val="00AA454D"/>
    <w:rsid w:val="00AA5B22"/>
    <w:rsid w:val="00AA5DF2"/>
    <w:rsid w:val="00AA7C4D"/>
    <w:rsid w:val="00AA7C7A"/>
    <w:rsid w:val="00AB09B0"/>
    <w:rsid w:val="00AB0AE6"/>
    <w:rsid w:val="00AB103E"/>
    <w:rsid w:val="00AB1284"/>
    <w:rsid w:val="00AB1F6E"/>
    <w:rsid w:val="00AB34E8"/>
    <w:rsid w:val="00AB4409"/>
    <w:rsid w:val="00AB4753"/>
    <w:rsid w:val="00AB59A7"/>
    <w:rsid w:val="00AB6EB8"/>
    <w:rsid w:val="00AB7300"/>
    <w:rsid w:val="00AC00CC"/>
    <w:rsid w:val="00AC09BB"/>
    <w:rsid w:val="00AC0EE6"/>
    <w:rsid w:val="00AC1488"/>
    <w:rsid w:val="00AC1721"/>
    <w:rsid w:val="00AC1B80"/>
    <w:rsid w:val="00AC2280"/>
    <w:rsid w:val="00AC2360"/>
    <w:rsid w:val="00AC2C40"/>
    <w:rsid w:val="00AC3589"/>
    <w:rsid w:val="00AC37AD"/>
    <w:rsid w:val="00AC383F"/>
    <w:rsid w:val="00AC3AD6"/>
    <w:rsid w:val="00AC4022"/>
    <w:rsid w:val="00AC6383"/>
    <w:rsid w:val="00AC7186"/>
    <w:rsid w:val="00AC743D"/>
    <w:rsid w:val="00AD0766"/>
    <w:rsid w:val="00AD347D"/>
    <w:rsid w:val="00AD48F3"/>
    <w:rsid w:val="00AD4995"/>
    <w:rsid w:val="00AD49E2"/>
    <w:rsid w:val="00AD4B58"/>
    <w:rsid w:val="00AD4DD2"/>
    <w:rsid w:val="00AD4FA0"/>
    <w:rsid w:val="00AD53C6"/>
    <w:rsid w:val="00AD6874"/>
    <w:rsid w:val="00AD6FC6"/>
    <w:rsid w:val="00AD7361"/>
    <w:rsid w:val="00AD7A15"/>
    <w:rsid w:val="00AE0A5A"/>
    <w:rsid w:val="00AE0FF6"/>
    <w:rsid w:val="00AE17ED"/>
    <w:rsid w:val="00AE22E2"/>
    <w:rsid w:val="00AE23FB"/>
    <w:rsid w:val="00AE3D72"/>
    <w:rsid w:val="00AE4A35"/>
    <w:rsid w:val="00AE52A3"/>
    <w:rsid w:val="00AE5B9C"/>
    <w:rsid w:val="00AE62C0"/>
    <w:rsid w:val="00AE6604"/>
    <w:rsid w:val="00AE7186"/>
    <w:rsid w:val="00AE7578"/>
    <w:rsid w:val="00AE77E8"/>
    <w:rsid w:val="00AE79A7"/>
    <w:rsid w:val="00AF0161"/>
    <w:rsid w:val="00AF0354"/>
    <w:rsid w:val="00AF14AC"/>
    <w:rsid w:val="00AF1CBD"/>
    <w:rsid w:val="00AF221C"/>
    <w:rsid w:val="00AF2258"/>
    <w:rsid w:val="00AF345A"/>
    <w:rsid w:val="00AF3FF2"/>
    <w:rsid w:val="00AF3FFF"/>
    <w:rsid w:val="00AF46FA"/>
    <w:rsid w:val="00AF4B2A"/>
    <w:rsid w:val="00AF52BC"/>
    <w:rsid w:val="00AF5CF6"/>
    <w:rsid w:val="00AF68EC"/>
    <w:rsid w:val="00AF6F65"/>
    <w:rsid w:val="00B002E6"/>
    <w:rsid w:val="00B02C60"/>
    <w:rsid w:val="00B02E2F"/>
    <w:rsid w:val="00B03222"/>
    <w:rsid w:val="00B0334D"/>
    <w:rsid w:val="00B0367A"/>
    <w:rsid w:val="00B03BFC"/>
    <w:rsid w:val="00B0449B"/>
    <w:rsid w:val="00B04913"/>
    <w:rsid w:val="00B0510B"/>
    <w:rsid w:val="00B07103"/>
    <w:rsid w:val="00B0713D"/>
    <w:rsid w:val="00B073B5"/>
    <w:rsid w:val="00B07CAB"/>
    <w:rsid w:val="00B101F4"/>
    <w:rsid w:val="00B10ADF"/>
    <w:rsid w:val="00B11CBC"/>
    <w:rsid w:val="00B122EC"/>
    <w:rsid w:val="00B1246D"/>
    <w:rsid w:val="00B12ABD"/>
    <w:rsid w:val="00B1355D"/>
    <w:rsid w:val="00B14AED"/>
    <w:rsid w:val="00B14C2D"/>
    <w:rsid w:val="00B15DF0"/>
    <w:rsid w:val="00B16EBD"/>
    <w:rsid w:val="00B1782F"/>
    <w:rsid w:val="00B17E8C"/>
    <w:rsid w:val="00B17FD7"/>
    <w:rsid w:val="00B2081E"/>
    <w:rsid w:val="00B20C86"/>
    <w:rsid w:val="00B20FBD"/>
    <w:rsid w:val="00B21324"/>
    <w:rsid w:val="00B21D65"/>
    <w:rsid w:val="00B22AF2"/>
    <w:rsid w:val="00B234B7"/>
    <w:rsid w:val="00B2362D"/>
    <w:rsid w:val="00B24A26"/>
    <w:rsid w:val="00B24D85"/>
    <w:rsid w:val="00B258A9"/>
    <w:rsid w:val="00B25D59"/>
    <w:rsid w:val="00B25E3D"/>
    <w:rsid w:val="00B2751C"/>
    <w:rsid w:val="00B30149"/>
    <w:rsid w:val="00B30BCD"/>
    <w:rsid w:val="00B31553"/>
    <w:rsid w:val="00B31DE0"/>
    <w:rsid w:val="00B31EC0"/>
    <w:rsid w:val="00B32771"/>
    <w:rsid w:val="00B32E7F"/>
    <w:rsid w:val="00B34817"/>
    <w:rsid w:val="00B34932"/>
    <w:rsid w:val="00B35E76"/>
    <w:rsid w:val="00B363EB"/>
    <w:rsid w:val="00B37194"/>
    <w:rsid w:val="00B37D4F"/>
    <w:rsid w:val="00B4023F"/>
    <w:rsid w:val="00B40F26"/>
    <w:rsid w:val="00B42AFC"/>
    <w:rsid w:val="00B42CD5"/>
    <w:rsid w:val="00B42EFF"/>
    <w:rsid w:val="00B42F59"/>
    <w:rsid w:val="00B42FEA"/>
    <w:rsid w:val="00B43BDB"/>
    <w:rsid w:val="00B44626"/>
    <w:rsid w:val="00B44AD5"/>
    <w:rsid w:val="00B44BA3"/>
    <w:rsid w:val="00B4554B"/>
    <w:rsid w:val="00B465E4"/>
    <w:rsid w:val="00B4738F"/>
    <w:rsid w:val="00B5036D"/>
    <w:rsid w:val="00B505D1"/>
    <w:rsid w:val="00B5357B"/>
    <w:rsid w:val="00B54969"/>
    <w:rsid w:val="00B54B88"/>
    <w:rsid w:val="00B54EE6"/>
    <w:rsid w:val="00B55607"/>
    <w:rsid w:val="00B55DBD"/>
    <w:rsid w:val="00B56269"/>
    <w:rsid w:val="00B56601"/>
    <w:rsid w:val="00B5667E"/>
    <w:rsid w:val="00B5670A"/>
    <w:rsid w:val="00B5671D"/>
    <w:rsid w:val="00B56F05"/>
    <w:rsid w:val="00B5728A"/>
    <w:rsid w:val="00B6016B"/>
    <w:rsid w:val="00B604AC"/>
    <w:rsid w:val="00B60AA4"/>
    <w:rsid w:val="00B61152"/>
    <w:rsid w:val="00B6218E"/>
    <w:rsid w:val="00B623FA"/>
    <w:rsid w:val="00B62956"/>
    <w:rsid w:val="00B633AB"/>
    <w:rsid w:val="00B638E7"/>
    <w:rsid w:val="00B63A34"/>
    <w:rsid w:val="00B63DD7"/>
    <w:rsid w:val="00B641BE"/>
    <w:rsid w:val="00B65280"/>
    <w:rsid w:val="00B65922"/>
    <w:rsid w:val="00B66C39"/>
    <w:rsid w:val="00B66F7F"/>
    <w:rsid w:val="00B67BE1"/>
    <w:rsid w:val="00B67CE4"/>
    <w:rsid w:val="00B7016B"/>
    <w:rsid w:val="00B70734"/>
    <w:rsid w:val="00B72817"/>
    <w:rsid w:val="00B73C7F"/>
    <w:rsid w:val="00B73E2D"/>
    <w:rsid w:val="00B73EE5"/>
    <w:rsid w:val="00B741C5"/>
    <w:rsid w:val="00B767B2"/>
    <w:rsid w:val="00B7684D"/>
    <w:rsid w:val="00B76A98"/>
    <w:rsid w:val="00B76E49"/>
    <w:rsid w:val="00B8011D"/>
    <w:rsid w:val="00B80795"/>
    <w:rsid w:val="00B808FA"/>
    <w:rsid w:val="00B80DCB"/>
    <w:rsid w:val="00B80FEF"/>
    <w:rsid w:val="00B81303"/>
    <w:rsid w:val="00B81314"/>
    <w:rsid w:val="00B82224"/>
    <w:rsid w:val="00B83EFB"/>
    <w:rsid w:val="00B84899"/>
    <w:rsid w:val="00B84C2A"/>
    <w:rsid w:val="00B852D0"/>
    <w:rsid w:val="00B85EA7"/>
    <w:rsid w:val="00B8624A"/>
    <w:rsid w:val="00B904B6"/>
    <w:rsid w:val="00B908E5"/>
    <w:rsid w:val="00B90F87"/>
    <w:rsid w:val="00B90FA1"/>
    <w:rsid w:val="00B91730"/>
    <w:rsid w:val="00B91B84"/>
    <w:rsid w:val="00B91C56"/>
    <w:rsid w:val="00B91CF4"/>
    <w:rsid w:val="00B920E3"/>
    <w:rsid w:val="00B9454F"/>
    <w:rsid w:val="00B94707"/>
    <w:rsid w:val="00B94723"/>
    <w:rsid w:val="00B94A0E"/>
    <w:rsid w:val="00B94CF2"/>
    <w:rsid w:val="00B95200"/>
    <w:rsid w:val="00B9563E"/>
    <w:rsid w:val="00B959FD"/>
    <w:rsid w:val="00B95B2E"/>
    <w:rsid w:val="00B9688F"/>
    <w:rsid w:val="00B97579"/>
    <w:rsid w:val="00B97AF6"/>
    <w:rsid w:val="00B97B12"/>
    <w:rsid w:val="00BA0111"/>
    <w:rsid w:val="00BA0199"/>
    <w:rsid w:val="00BA13BA"/>
    <w:rsid w:val="00BA1F16"/>
    <w:rsid w:val="00BA263D"/>
    <w:rsid w:val="00BA41C8"/>
    <w:rsid w:val="00BA5102"/>
    <w:rsid w:val="00BA5A53"/>
    <w:rsid w:val="00BA5CCA"/>
    <w:rsid w:val="00BA6320"/>
    <w:rsid w:val="00BA6995"/>
    <w:rsid w:val="00BA7C99"/>
    <w:rsid w:val="00BB0C8E"/>
    <w:rsid w:val="00BB120E"/>
    <w:rsid w:val="00BB134E"/>
    <w:rsid w:val="00BB1D56"/>
    <w:rsid w:val="00BB2313"/>
    <w:rsid w:val="00BB23C4"/>
    <w:rsid w:val="00BB49D2"/>
    <w:rsid w:val="00BB4C9A"/>
    <w:rsid w:val="00BB555E"/>
    <w:rsid w:val="00BB6EB8"/>
    <w:rsid w:val="00BC37AD"/>
    <w:rsid w:val="00BC40DA"/>
    <w:rsid w:val="00BC4C6C"/>
    <w:rsid w:val="00BC4DD2"/>
    <w:rsid w:val="00BC53E2"/>
    <w:rsid w:val="00BC5773"/>
    <w:rsid w:val="00BC58E1"/>
    <w:rsid w:val="00BC60D1"/>
    <w:rsid w:val="00BD1033"/>
    <w:rsid w:val="00BD1802"/>
    <w:rsid w:val="00BD1DC8"/>
    <w:rsid w:val="00BD2485"/>
    <w:rsid w:val="00BD3453"/>
    <w:rsid w:val="00BD405A"/>
    <w:rsid w:val="00BD42F7"/>
    <w:rsid w:val="00BD43C6"/>
    <w:rsid w:val="00BD51F9"/>
    <w:rsid w:val="00BD5555"/>
    <w:rsid w:val="00BD6272"/>
    <w:rsid w:val="00BD690A"/>
    <w:rsid w:val="00BD7290"/>
    <w:rsid w:val="00BE1148"/>
    <w:rsid w:val="00BE1764"/>
    <w:rsid w:val="00BE1C4F"/>
    <w:rsid w:val="00BE228E"/>
    <w:rsid w:val="00BE2C5D"/>
    <w:rsid w:val="00BE3CC7"/>
    <w:rsid w:val="00BE4091"/>
    <w:rsid w:val="00BE416D"/>
    <w:rsid w:val="00BE5DE6"/>
    <w:rsid w:val="00BE642E"/>
    <w:rsid w:val="00BE67AE"/>
    <w:rsid w:val="00BE6D16"/>
    <w:rsid w:val="00BE7D30"/>
    <w:rsid w:val="00BE7E16"/>
    <w:rsid w:val="00BF108F"/>
    <w:rsid w:val="00BF1442"/>
    <w:rsid w:val="00BF1458"/>
    <w:rsid w:val="00BF1C4A"/>
    <w:rsid w:val="00BF286A"/>
    <w:rsid w:val="00BF2D28"/>
    <w:rsid w:val="00BF34F9"/>
    <w:rsid w:val="00BF3F4E"/>
    <w:rsid w:val="00BF42C7"/>
    <w:rsid w:val="00BF4B76"/>
    <w:rsid w:val="00BF534B"/>
    <w:rsid w:val="00BF604B"/>
    <w:rsid w:val="00BF6203"/>
    <w:rsid w:val="00BF6319"/>
    <w:rsid w:val="00BF6517"/>
    <w:rsid w:val="00BF7817"/>
    <w:rsid w:val="00BF78D2"/>
    <w:rsid w:val="00BF79D2"/>
    <w:rsid w:val="00C0011C"/>
    <w:rsid w:val="00C007A6"/>
    <w:rsid w:val="00C00C4A"/>
    <w:rsid w:val="00C00EA3"/>
    <w:rsid w:val="00C00FD9"/>
    <w:rsid w:val="00C01439"/>
    <w:rsid w:val="00C01B57"/>
    <w:rsid w:val="00C034E5"/>
    <w:rsid w:val="00C03984"/>
    <w:rsid w:val="00C03BB1"/>
    <w:rsid w:val="00C03C8D"/>
    <w:rsid w:val="00C04426"/>
    <w:rsid w:val="00C0454A"/>
    <w:rsid w:val="00C049B1"/>
    <w:rsid w:val="00C04B2B"/>
    <w:rsid w:val="00C04EBA"/>
    <w:rsid w:val="00C056A3"/>
    <w:rsid w:val="00C05C5C"/>
    <w:rsid w:val="00C05F29"/>
    <w:rsid w:val="00C07148"/>
    <w:rsid w:val="00C07658"/>
    <w:rsid w:val="00C07AF0"/>
    <w:rsid w:val="00C07E39"/>
    <w:rsid w:val="00C10D8D"/>
    <w:rsid w:val="00C11945"/>
    <w:rsid w:val="00C129AA"/>
    <w:rsid w:val="00C13111"/>
    <w:rsid w:val="00C13A27"/>
    <w:rsid w:val="00C14994"/>
    <w:rsid w:val="00C14B4E"/>
    <w:rsid w:val="00C15701"/>
    <w:rsid w:val="00C1574B"/>
    <w:rsid w:val="00C15893"/>
    <w:rsid w:val="00C15F74"/>
    <w:rsid w:val="00C160BC"/>
    <w:rsid w:val="00C16693"/>
    <w:rsid w:val="00C166F2"/>
    <w:rsid w:val="00C170B8"/>
    <w:rsid w:val="00C17A8A"/>
    <w:rsid w:val="00C17C52"/>
    <w:rsid w:val="00C17E51"/>
    <w:rsid w:val="00C210B3"/>
    <w:rsid w:val="00C21B81"/>
    <w:rsid w:val="00C21DC9"/>
    <w:rsid w:val="00C21FE6"/>
    <w:rsid w:val="00C228F8"/>
    <w:rsid w:val="00C22E8C"/>
    <w:rsid w:val="00C23389"/>
    <w:rsid w:val="00C245C1"/>
    <w:rsid w:val="00C2507D"/>
    <w:rsid w:val="00C25B65"/>
    <w:rsid w:val="00C26C92"/>
    <w:rsid w:val="00C26FB0"/>
    <w:rsid w:val="00C27775"/>
    <w:rsid w:val="00C27DDD"/>
    <w:rsid w:val="00C27E4D"/>
    <w:rsid w:val="00C30CFD"/>
    <w:rsid w:val="00C3245B"/>
    <w:rsid w:val="00C32773"/>
    <w:rsid w:val="00C33590"/>
    <w:rsid w:val="00C34276"/>
    <w:rsid w:val="00C34AFC"/>
    <w:rsid w:val="00C3537B"/>
    <w:rsid w:val="00C363EA"/>
    <w:rsid w:val="00C3692F"/>
    <w:rsid w:val="00C3707A"/>
    <w:rsid w:val="00C377F2"/>
    <w:rsid w:val="00C378D5"/>
    <w:rsid w:val="00C37AC9"/>
    <w:rsid w:val="00C37DBD"/>
    <w:rsid w:val="00C37E3E"/>
    <w:rsid w:val="00C40143"/>
    <w:rsid w:val="00C41636"/>
    <w:rsid w:val="00C424BC"/>
    <w:rsid w:val="00C42695"/>
    <w:rsid w:val="00C42E09"/>
    <w:rsid w:val="00C44B5E"/>
    <w:rsid w:val="00C451FF"/>
    <w:rsid w:val="00C474DF"/>
    <w:rsid w:val="00C50476"/>
    <w:rsid w:val="00C509AF"/>
    <w:rsid w:val="00C515F2"/>
    <w:rsid w:val="00C51BD7"/>
    <w:rsid w:val="00C52AF9"/>
    <w:rsid w:val="00C5322F"/>
    <w:rsid w:val="00C53951"/>
    <w:rsid w:val="00C53B30"/>
    <w:rsid w:val="00C53CC9"/>
    <w:rsid w:val="00C54C3B"/>
    <w:rsid w:val="00C54EEE"/>
    <w:rsid w:val="00C56E9A"/>
    <w:rsid w:val="00C6138D"/>
    <w:rsid w:val="00C61842"/>
    <w:rsid w:val="00C61972"/>
    <w:rsid w:val="00C61E82"/>
    <w:rsid w:val="00C621C0"/>
    <w:rsid w:val="00C62970"/>
    <w:rsid w:val="00C62A92"/>
    <w:rsid w:val="00C62AE4"/>
    <w:rsid w:val="00C62C56"/>
    <w:rsid w:val="00C633AF"/>
    <w:rsid w:val="00C63D6E"/>
    <w:rsid w:val="00C63FBD"/>
    <w:rsid w:val="00C640F2"/>
    <w:rsid w:val="00C643DB"/>
    <w:rsid w:val="00C64406"/>
    <w:rsid w:val="00C655CF"/>
    <w:rsid w:val="00C66A97"/>
    <w:rsid w:val="00C66BCF"/>
    <w:rsid w:val="00C66BEB"/>
    <w:rsid w:val="00C67379"/>
    <w:rsid w:val="00C67E07"/>
    <w:rsid w:val="00C70561"/>
    <w:rsid w:val="00C70642"/>
    <w:rsid w:val="00C70670"/>
    <w:rsid w:val="00C70F99"/>
    <w:rsid w:val="00C7154E"/>
    <w:rsid w:val="00C716DD"/>
    <w:rsid w:val="00C71830"/>
    <w:rsid w:val="00C72381"/>
    <w:rsid w:val="00C7474C"/>
    <w:rsid w:val="00C74E01"/>
    <w:rsid w:val="00C74FC9"/>
    <w:rsid w:val="00C752C6"/>
    <w:rsid w:val="00C76323"/>
    <w:rsid w:val="00C76DA7"/>
    <w:rsid w:val="00C803C6"/>
    <w:rsid w:val="00C81786"/>
    <w:rsid w:val="00C82E7E"/>
    <w:rsid w:val="00C85CD2"/>
    <w:rsid w:val="00C86440"/>
    <w:rsid w:val="00C8674E"/>
    <w:rsid w:val="00C87060"/>
    <w:rsid w:val="00C87E8E"/>
    <w:rsid w:val="00C913F1"/>
    <w:rsid w:val="00C92127"/>
    <w:rsid w:val="00C94C27"/>
    <w:rsid w:val="00C94C2F"/>
    <w:rsid w:val="00C94CA1"/>
    <w:rsid w:val="00C95A75"/>
    <w:rsid w:val="00C96A92"/>
    <w:rsid w:val="00C96EF4"/>
    <w:rsid w:val="00C97B1A"/>
    <w:rsid w:val="00CA095E"/>
    <w:rsid w:val="00CA0AE8"/>
    <w:rsid w:val="00CA1232"/>
    <w:rsid w:val="00CA1462"/>
    <w:rsid w:val="00CA1796"/>
    <w:rsid w:val="00CA1CFA"/>
    <w:rsid w:val="00CA2FB6"/>
    <w:rsid w:val="00CA3AD7"/>
    <w:rsid w:val="00CA4735"/>
    <w:rsid w:val="00CA47C8"/>
    <w:rsid w:val="00CA4957"/>
    <w:rsid w:val="00CA49C7"/>
    <w:rsid w:val="00CA4D03"/>
    <w:rsid w:val="00CA545E"/>
    <w:rsid w:val="00CA5697"/>
    <w:rsid w:val="00CA57E3"/>
    <w:rsid w:val="00CA5DB5"/>
    <w:rsid w:val="00CA6C76"/>
    <w:rsid w:val="00CA6D7C"/>
    <w:rsid w:val="00CA6E94"/>
    <w:rsid w:val="00CA7BB5"/>
    <w:rsid w:val="00CA7F5D"/>
    <w:rsid w:val="00CB0F00"/>
    <w:rsid w:val="00CB1686"/>
    <w:rsid w:val="00CB1777"/>
    <w:rsid w:val="00CB1841"/>
    <w:rsid w:val="00CB255B"/>
    <w:rsid w:val="00CB271F"/>
    <w:rsid w:val="00CB278F"/>
    <w:rsid w:val="00CB2DB4"/>
    <w:rsid w:val="00CB2FE7"/>
    <w:rsid w:val="00CB304B"/>
    <w:rsid w:val="00CB3708"/>
    <w:rsid w:val="00CB3E55"/>
    <w:rsid w:val="00CB5718"/>
    <w:rsid w:val="00CB5AF3"/>
    <w:rsid w:val="00CB69F1"/>
    <w:rsid w:val="00CB6ACA"/>
    <w:rsid w:val="00CB6D5C"/>
    <w:rsid w:val="00CB783A"/>
    <w:rsid w:val="00CC0276"/>
    <w:rsid w:val="00CC0288"/>
    <w:rsid w:val="00CC0663"/>
    <w:rsid w:val="00CC0810"/>
    <w:rsid w:val="00CC0C2F"/>
    <w:rsid w:val="00CC1896"/>
    <w:rsid w:val="00CC4AA5"/>
    <w:rsid w:val="00CC73F1"/>
    <w:rsid w:val="00CD0572"/>
    <w:rsid w:val="00CD0A74"/>
    <w:rsid w:val="00CD0BAC"/>
    <w:rsid w:val="00CD0CB1"/>
    <w:rsid w:val="00CD0F6F"/>
    <w:rsid w:val="00CD0F76"/>
    <w:rsid w:val="00CD1EF8"/>
    <w:rsid w:val="00CD2610"/>
    <w:rsid w:val="00CD2A60"/>
    <w:rsid w:val="00CD3AA6"/>
    <w:rsid w:val="00CD3FFB"/>
    <w:rsid w:val="00CD458F"/>
    <w:rsid w:val="00CD4B96"/>
    <w:rsid w:val="00CD50D5"/>
    <w:rsid w:val="00CD54E3"/>
    <w:rsid w:val="00CD5FE4"/>
    <w:rsid w:val="00CD6A60"/>
    <w:rsid w:val="00CE0CD3"/>
    <w:rsid w:val="00CE17EA"/>
    <w:rsid w:val="00CE1DC4"/>
    <w:rsid w:val="00CE2D65"/>
    <w:rsid w:val="00CE496F"/>
    <w:rsid w:val="00CE4F48"/>
    <w:rsid w:val="00CE5EE2"/>
    <w:rsid w:val="00CE6125"/>
    <w:rsid w:val="00CE633D"/>
    <w:rsid w:val="00CE6C29"/>
    <w:rsid w:val="00CE6E1E"/>
    <w:rsid w:val="00CE6F08"/>
    <w:rsid w:val="00CE7076"/>
    <w:rsid w:val="00CE742B"/>
    <w:rsid w:val="00CE7FC9"/>
    <w:rsid w:val="00CF04DE"/>
    <w:rsid w:val="00CF0C0A"/>
    <w:rsid w:val="00CF1475"/>
    <w:rsid w:val="00CF29C1"/>
    <w:rsid w:val="00CF2CA3"/>
    <w:rsid w:val="00CF3192"/>
    <w:rsid w:val="00CF35B3"/>
    <w:rsid w:val="00CF3E4D"/>
    <w:rsid w:val="00CF4646"/>
    <w:rsid w:val="00CF4C65"/>
    <w:rsid w:val="00CF53C8"/>
    <w:rsid w:val="00CF55BB"/>
    <w:rsid w:val="00CF59BB"/>
    <w:rsid w:val="00CF7DDE"/>
    <w:rsid w:val="00D0023B"/>
    <w:rsid w:val="00D0028A"/>
    <w:rsid w:val="00D002CA"/>
    <w:rsid w:val="00D005E5"/>
    <w:rsid w:val="00D00926"/>
    <w:rsid w:val="00D00B65"/>
    <w:rsid w:val="00D00C5F"/>
    <w:rsid w:val="00D0148F"/>
    <w:rsid w:val="00D019A3"/>
    <w:rsid w:val="00D02632"/>
    <w:rsid w:val="00D0299B"/>
    <w:rsid w:val="00D02E89"/>
    <w:rsid w:val="00D03A16"/>
    <w:rsid w:val="00D0508B"/>
    <w:rsid w:val="00D05AFF"/>
    <w:rsid w:val="00D05BFC"/>
    <w:rsid w:val="00D0622D"/>
    <w:rsid w:val="00D06828"/>
    <w:rsid w:val="00D06CA4"/>
    <w:rsid w:val="00D06F80"/>
    <w:rsid w:val="00D0712F"/>
    <w:rsid w:val="00D0734B"/>
    <w:rsid w:val="00D07763"/>
    <w:rsid w:val="00D10AB0"/>
    <w:rsid w:val="00D10BAE"/>
    <w:rsid w:val="00D10EB1"/>
    <w:rsid w:val="00D1131E"/>
    <w:rsid w:val="00D11331"/>
    <w:rsid w:val="00D11C50"/>
    <w:rsid w:val="00D11D6F"/>
    <w:rsid w:val="00D12FA5"/>
    <w:rsid w:val="00D138AE"/>
    <w:rsid w:val="00D14E3C"/>
    <w:rsid w:val="00D1560C"/>
    <w:rsid w:val="00D15988"/>
    <w:rsid w:val="00D17551"/>
    <w:rsid w:val="00D176EB"/>
    <w:rsid w:val="00D17A40"/>
    <w:rsid w:val="00D17B32"/>
    <w:rsid w:val="00D20092"/>
    <w:rsid w:val="00D20E67"/>
    <w:rsid w:val="00D22509"/>
    <w:rsid w:val="00D22695"/>
    <w:rsid w:val="00D2280C"/>
    <w:rsid w:val="00D23322"/>
    <w:rsid w:val="00D234EC"/>
    <w:rsid w:val="00D23D07"/>
    <w:rsid w:val="00D23D71"/>
    <w:rsid w:val="00D2478B"/>
    <w:rsid w:val="00D25F34"/>
    <w:rsid w:val="00D27454"/>
    <w:rsid w:val="00D31257"/>
    <w:rsid w:val="00D313E0"/>
    <w:rsid w:val="00D314ED"/>
    <w:rsid w:val="00D3159C"/>
    <w:rsid w:val="00D316A4"/>
    <w:rsid w:val="00D3280C"/>
    <w:rsid w:val="00D32F1F"/>
    <w:rsid w:val="00D33E64"/>
    <w:rsid w:val="00D343AB"/>
    <w:rsid w:val="00D34603"/>
    <w:rsid w:val="00D351A0"/>
    <w:rsid w:val="00D365FF"/>
    <w:rsid w:val="00D36965"/>
    <w:rsid w:val="00D377B8"/>
    <w:rsid w:val="00D3794F"/>
    <w:rsid w:val="00D41359"/>
    <w:rsid w:val="00D42160"/>
    <w:rsid w:val="00D42D3F"/>
    <w:rsid w:val="00D43359"/>
    <w:rsid w:val="00D43A3F"/>
    <w:rsid w:val="00D43D71"/>
    <w:rsid w:val="00D440C4"/>
    <w:rsid w:val="00D44B84"/>
    <w:rsid w:val="00D451D1"/>
    <w:rsid w:val="00D4732E"/>
    <w:rsid w:val="00D477C8"/>
    <w:rsid w:val="00D47F76"/>
    <w:rsid w:val="00D5097B"/>
    <w:rsid w:val="00D51224"/>
    <w:rsid w:val="00D523EE"/>
    <w:rsid w:val="00D52B8C"/>
    <w:rsid w:val="00D53356"/>
    <w:rsid w:val="00D55C57"/>
    <w:rsid w:val="00D55F14"/>
    <w:rsid w:val="00D55FDA"/>
    <w:rsid w:val="00D560C6"/>
    <w:rsid w:val="00D5790F"/>
    <w:rsid w:val="00D57BE1"/>
    <w:rsid w:val="00D605AE"/>
    <w:rsid w:val="00D61493"/>
    <w:rsid w:val="00D61F52"/>
    <w:rsid w:val="00D62911"/>
    <w:rsid w:val="00D62B1E"/>
    <w:rsid w:val="00D637C5"/>
    <w:rsid w:val="00D63A88"/>
    <w:rsid w:val="00D6436B"/>
    <w:rsid w:val="00D64AC1"/>
    <w:rsid w:val="00D64BF1"/>
    <w:rsid w:val="00D64EA9"/>
    <w:rsid w:val="00D65C7F"/>
    <w:rsid w:val="00D6628A"/>
    <w:rsid w:val="00D66BBE"/>
    <w:rsid w:val="00D67375"/>
    <w:rsid w:val="00D71298"/>
    <w:rsid w:val="00D7313E"/>
    <w:rsid w:val="00D73E6E"/>
    <w:rsid w:val="00D7683D"/>
    <w:rsid w:val="00D76F19"/>
    <w:rsid w:val="00D771DA"/>
    <w:rsid w:val="00D77529"/>
    <w:rsid w:val="00D77A25"/>
    <w:rsid w:val="00D77AC7"/>
    <w:rsid w:val="00D8020C"/>
    <w:rsid w:val="00D8041E"/>
    <w:rsid w:val="00D8091E"/>
    <w:rsid w:val="00D80F22"/>
    <w:rsid w:val="00D817EC"/>
    <w:rsid w:val="00D81A10"/>
    <w:rsid w:val="00D82800"/>
    <w:rsid w:val="00D8391E"/>
    <w:rsid w:val="00D844C3"/>
    <w:rsid w:val="00D85672"/>
    <w:rsid w:val="00D86CB5"/>
    <w:rsid w:val="00D86E5C"/>
    <w:rsid w:val="00D90B23"/>
    <w:rsid w:val="00D92627"/>
    <w:rsid w:val="00D92FD2"/>
    <w:rsid w:val="00D93DCB"/>
    <w:rsid w:val="00D94306"/>
    <w:rsid w:val="00D9496F"/>
    <w:rsid w:val="00D94FAE"/>
    <w:rsid w:val="00D9646A"/>
    <w:rsid w:val="00D96E05"/>
    <w:rsid w:val="00DA0BBC"/>
    <w:rsid w:val="00DA1507"/>
    <w:rsid w:val="00DA20D2"/>
    <w:rsid w:val="00DA2485"/>
    <w:rsid w:val="00DA2711"/>
    <w:rsid w:val="00DA2EE4"/>
    <w:rsid w:val="00DA3EFC"/>
    <w:rsid w:val="00DA3F5E"/>
    <w:rsid w:val="00DA47C5"/>
    <w:rsid w:val="00DA6028"/>
    <w:rsid w:val="00DA61AA"/>
    <w:rsid w:val="00DA65ED"/>
    <w:rsid w:val="00DA7564"/>
    <w:rsid w:val="00DA7A18"/>
    <w:rsid w:val="00DB00D4"/>
    <w:rsid w:val="00DB09D8"/>
    <w:rsid w:val="00DB0FB5"/>
    <w:rsid w:val="00DB18F6"/>
    <w:rsid w:val="00DB1B42"/>
    <w:rsid w:val="00DB219C"/>
    <w:rsid w:val="00DB2430"/>
    <w:rsid w:val="00DB2612"/>
    <w:rsid w:val="00DB262D"/>
    <w:rsid w:val="00DB2F0D"/>
    <w:rsid w:val="00DB3A23"/>
    <w:rsid w:val="00DB3E0B"/>
    <w:rsid w:val="00DB4124"/>
    <w:rsid w:val="00DB45C3"/>
    <w:rsid w:val="00DB4F56"/>
    <w:rsid w:val="00DB519E"/>
    <w:rsid w:val="00DB5340"/>
    <w:rsid w:val="00DB5924"/>
    <w:rsid w:val="00DB5FB8"/>
    <w:rsid w:val="00DC003C"/>
    <w:rsid w:val="00DC0840"/>
    <w:rsid w:val="00DC1830"/>
    <w:rsid w:val="00DC1B40"/>
    <w:rsid w:val="00DC282C"/>
    <w:rsid w:val="00DC299A"/>
    <w:rsid w:val="00DC3434"/>
    <w:rsid w:val="00DC3636"/>
    <w:rsid w:val="00DC5197"/>
    <w:rsid w:val="00DC6DE7"/>
    <w:rsid w:val="00DC7960"/>
    <w:rsid w:val="00DD0B7B"/>
    <w:rsid w:val="00DD0EB0"/>
    <w:rsid w:val="00DD11F1"/>
    <w:rsid w:val="00DD17C5"/>
    <w:rsid w:val="00DD1CF7"/>
    <w:rsid w:val="00DD26A8"/>
    <w:rsid w:val="00DD2E8D"/>
    <w:rsid w:val="00DD3457"/>
    <w:rsid w:val="00DD37CC"/>
    <w:rsid w:val="00DD3FA4"/>
    <w:rsid w:val="00DD4993"/>
    <w:rsid w:val="00DD5463"/>
    <w:rsid w:val="00DD6462"/>
    <w:rsid w:val="00DD765F"/>
    <w:rsid w:val="00DE03BB"/>
    <w:rsid w:val="00DE0D34"/>
    <w:rsid w:val="00DE173E"/>
    <w:rsid w:val="00DE2769"/>
    <w:rsid w:val="00DE2F53"/>
    <w:rsid w:val="00DE6650"/>
    <w:rsid w:val="00DE7CA8"/>
    <w:rsid w:val="00DE7D00"/>
    <w:rsid w:val="00DF0C31"/>
    <w:rsid w:val="00DF0CB5"/>
    <w:rsid w:val="00DF1217"/>
    <w:rsid w:val="00DF1745"/>
    <w:rsid w:val="00DF1D4E"/>
    <w:rsid w:val="00DF2EE8"/>
    <w:rsid w:val="00DF349C"/>
    <w:rsid w:val="00DF39F7"/>
    <w:rsid w:val="00DF3DD5"/>
    <w:rsid w:val="00DF457D"/>
    <w:rsid w:val="00DF514E"/>
    <w:rsid w:val="00DF57FC"/>
    <w:rsid w:val="00E002E2"/>
    <w:rsid w:val="00E00453"/>
    <w:rsid w:val="00E0188C"/>
    <w:rsid w:val="00E024AF"/>
    <w:rsid w:val="00E02ED2"/>
    <w:rsid w:val="00E031A5"/>
    <w:rsid w:val="00E0418B"/>
    <w:rsid w:val="00E04EEF"/>
    <w:rsid w:val="00E05704"/>
    <w:rsid w:val="00E063F6"/>
    <w:rsid w:val="00E06983"/>
    <w:rsid w:val="00E1024F"/>
    <w:rsid w:val="00E1059C"/>
    <w:rsid w:val="00E10724"/>
    <w:rsid w:val="00E10CC9"/>
    <w:rsid w:val="00E10D42"/>
    <w:rsid w:val="00E10DBC"/>
    <w:rsid w:val="00E11088"/>
    <w:rsid w:val="00E11917"/>
    <w:rsid w:val="00E11E7F"/>
    <w:rsid w:val="00E12105"/>
    <w:rsid w:val="00E127FF"/>
    <w:rsid w:val="00E129CD"/>
    <w:rsid w:val="00E12EC7"/>
    <w:rsid w:val="00E12FAA"/>
    <w:rsid w:val="00E1379E"/>
    <w:rsid w:val="00E13864"/>
    <w:rsid w:val="00E13B8C"/>
    <w:rsid w:val="00E13C08"/>
    <w:rsid w:val="00E13D00"/>
    <w:rsid w:val="00E14836"/>
    <w:rsid w:val="00E14FAE"/>
    <w:rsid w:val="00E160A5"/>
    <w:rsid w:val="00E1707F"/>
    <w:rsid w:val="00E201F0"/>
    <w:rsid w:val="00E20487"/>
    <w:rsid w:val="00E20C8B"/>
    <w:rsid w:val="00E21251"/>
    <w:rsid w:val="00E217B5"/>
    <w:rsid w:val="00E21B9B"/>
    <w:rsid w:val="00E22805"/>
    <w:rsid w:val="00E2281D"/>
    <w:rsid w:val="00E22831"/>
    <w:rsid w:val="00E23C59"/>
    <w:rsid w:val="00E23DB9"/>
    <w:rsid w:val="00E244B8"/>
    <w:rsid w:val="00E24515"/>
    <w:rsid w:val="00E24A27"/>
    <w:rsid w:val="00E2517D"/>
    <w:rsid w:val="00E2551A"/>
    <w:rsid w:val="00E305C8"/>
    <w:rsid w:val="00E309A1"/>
    <w:rsid w:val="00E31121"/>
    <w:rsid w:val="00E3181A"/>
    <w:rsid w:val="00E335F9"/>
    <w:rsid w:val="00E339BC"/>
    <w:rsid w:val="00E339D3"/>
    <w:rsid w:val="00E34073"/>
    <w:rsid w:val="00E345F5"/>
    <w:rsid w:val="00E347E9"/>
    <w:rsid w:val="00E34807"/>
    <w:rsid w:val="00E34A6F"/>
    <w:rsid w:val="00E34E2F"/>
    <w:rsid w:val="00E35098"/>
    <w:rsid w:val="00E35B5E"/>
    <w:rsid w:val="00E35E0E"/>
    <w:rsid w:val="00E40505"/>
    <w:rsid w:val="00E40648"/>
    <w:rsid w:val="00E40C22"/>
    <w:rsid w:val="00E4178D"/>
    <w:rsid w:val="00E41B7C"/>
    <w:rsid w:val="00E423E3"/>
    <w:rsid w:val="00E423F7"/>
    <w:rsid w:val="00E42DA8"/>
    <w:rsid w:val="00E43568"/>
    <w:rsid w:val="00E4362D"/>
    <w:rsid w:val="00E438E9"/>
    <w:rsid w:val="00E441FF"/>
    <w:rsid w:val="00E44FB9"/>
    <w:rsid w:val="00E4560F"/>
    <w:rsid w:val="00E45B15"/>
    <w:rsid w:val="00E467A0"/>
    <w:rsid w:val="00E477B6"/>
    <w:rsid w:val="00E47C51"/>
    <w:rsid w:val="00E47D9D"/>
    <w:rsid w:val="00E502AE"/>
    <w:rsid w:val="00E50AEF"/>
    <w:rsid w:val="00E50B90"/>
    <w:rsid w:val="00E50CB0"/>
    <w:rsid w:val="00E518B0"/>
    <w:rsid w:val="00E51E95"/>
    <w:rsid w:val="00E520F5"/>
    <w:rsid w:val="00E53041"/>
    <w:rsid w:val="00E53310"/>
    <w:rsid w:val="00E53B02"/>
    <w:rsid w:val="00E54029"/>
    <w:rsid w:val="00E54D21"/>
    <w:rsid w:val="00E55441"/>
    <w:rsid w:val="00E5613C"/>
    <w:rsid w:val="00E566AB"/>
    <w:rsid w:val="00E570D7"/>
    <w:rsid w:val="00E57277"/>
    <w:rsid w:val="00E577A7"/>
    <w:rsid w:val="00E57993"/>
    <w:rsid w:val="00E60790"/>
    <w:rsid w:val="00E61B0A"/>
    <w:rsid w:val="00E6210D"/>
    <w:rsid w:val="00E62473"/>
    <w:rsid w:val="00E64476"/>
    <w:rsid w:val="00E651C8"/>
    <w:rsid w:val="00E665DD"/>
    <w:rsid w:val="00E66912"/>
    <w:rsid w:val="00E674B5"/>
    <w:rsid w:val="00E67BAD"/>
    <w:rsid w:val="00E71A42"/>
    <w:rsid w:val="00E72417"/>
    <w:rsid w:val="00E72545"/>
    <w:rsid w:val="00E72746"/>
    <w:rsid w:val="00E728EB"/>
    <w:rsid w:val="00E72E07"/>
    <w:rsid w:val="00E7434D"/>
    <w:rsid w:val="00E748FF"/>
    <w:rsid w:val="00E74CEF"/>
    <w:rsid w:val="00E74D26"/>
    <w:rsid w:val="00E750B2"/>
    <w:rsid w:val="00E756FC"/>
    <w:rsid w:val="00E7616B"/>
    <w:rsid w:val="00E76C12"/>
    <w:rsid w:val="00E76D9F"/>
    <w:rsid w:val="00E77757"/>
    <w:rsid w:val="00E77871"/>
    <w:rsid w:val="00E77FC3"/>
    <w:rsid w:val="00E8046F"/>
    <w:rsid w:val="00E813E6"/>
    <w:rsid w:val="00E81713"/>
    <w:rsid w:val="00E82251"/>
    <w:rsid w:val="00E826D9"/>
    <w:rsid w:val="00E82A8F"/>
    <w:rsid w:val="00E82C09"/>
    <w:rsid w:val="00E83516"/>
    <w:rsid w:val="00E83FB8"/>
    <w:rsid w:val="00E84A60"/>
    <w:rsid w:val="00E85B9A"/>
    <w:rsid w:val="00E85EFC"/>
    <w:rsid w:val="00E85FC3"/>
    <w:rsid w:val="00E86460"/>
    <w:rsid w:val="00E868BA"/>
    <w:rsid w:val="00E86CED"/>
    <w:rsid w:val="00E903E7"/>
    <w:rsid w:val="00E9078F"/>
    <w:rsid w:val="00E90968"/>
    <w:rsid w:val="00E91A3F"/>
    <w:rsid w:val="00E930A4"/>
    <w:rsid w:val="00E93F40"/>
    <w:rsid w:val="00E94D34"/>
    <w:rsid w:val="00E950EC"/>
    <w:rsid w:val="00E958BD"/>
    <w:rsid w:val="00E95EDD"/>
    <w:rsid w:val="00E9731A"/>
    <w:rsid w:val="00E975B6"/>
    <w:rsid w:val="00EA062B"/>
    <w:rsid w:val="00EA07FB"/>
    <w:rsid w:val="00EA0E5C"/>
    <w:rsid w:val="00EA1910"/>
    <w:rsid w:val="00EA21B9"/>
    <w:rsid w:val="00EA244B"/>
    <w:rsid w:val="00EA250F"/>
    <w:rsid w:val="00EA36E9"/>
    <w:rsid w:val="00EA3D1A"/>
    <w:rsid w:val="00EA4BF8"/>
    <w:rsid w:val="00EA55A0"/>
    <w:rsid w:val="00EA57A9"/>
    <w:rsid w:val="00EA632D"/>
    <w:rsid w:val="00EA67C5"/>
    <w:rsid w:val="00EA6E84"/>
    <w:rsid w:val="00EA6F98"/>
    <w:rsid w:val="00EB15F5"/>
    <w:rsid w:val="00EB16A8"/>
    <w:rsid w:val="00EB1797"/>
    <w:rsid w:val="00EB1F64"/>
    <w:rsid w:val="00EB40F9"/>
    <w:rsid w:val="00EB42F8"/>
    <w:rsid w:val="00EB4A43"/>
    <w:rsid w:val="00EB5043"/>
    <w:rsid w:val="00EB674E"/>
    <w:rsid w:val="00EB6F3A"/>
    <w:rsid w:val="00EB6FDC"/>
    <w:rsid w:val="00EB77EF"/>
    <w:rsid w:val="00EB7A28"/>
    <w:rsid w:val="00EC0762"/>
    <w:rsid w:val="00EC0BD9"/>
    <w:rsid w:val="00EC207B"/>
    <w:rsid w:val="00EC2BC2"/>
    <w:rsid w:val="00EC2F65"/>
    <w:rsid w:val="00EC3869"/>
    <w:rsid w:val="00EC42E5"/>
    <w:rsid w:val="00EC48A4"/>
    <w:rsid w:val="00EC52AA"/>
    <w:rsid w:val="00EC561B"/>
    <w:rsid w:val="00EC5F10"/>
    <w:rsid w:val="00EC685F"/>
    <w:rsid w:val="00EC6F61"/>
    <w:rsid w:val="00EC70E5"/>
    <w:rsid w:val="00EC766E"/>
    <w:rsid w:val="00EC7DA9"/>
    <w:rsid w:val="00ED140E"/>
    <w:rsid w:val="00ED2D61"/>
    <w:rsid w:val="00ED3DC3"/>
    <w:rsid w:val="00ED4B16"/>
    <w:rsid w:val="00ED74DC"/>
    <w:rsid w:val="00ED7663"/>
    <w:rsid w:val="00EE119E"/>
    <w:rsid w:val="00EE1744"/>
    <w:rsid w:val="00EE17A0"/>
    <w:rsid w:val="00EE1B73"/>
    <w:rsid w:val="00EE3654"/>
    <w:rsid w:val="00EE421C"/>
    <w:rsid w:val="00EE424C"/>
    <w:rsid w:val="00EE4603"/>
    <w:rsid w:val="00EE4BF9"/>
    <w:rsid w:val="00EE4DD6"/>
    <w:rsid w:val="00EE558D"/>
    <w:rsid w:val="00EE5952"/>
    <w:rsid w:val="00EE602D"/>
    <w:rsid w:val="00EE6122"/>
    <w:rsid w:val="00EE68E8"/>
    <w:rsid w:val="00EE6912"/>
    <w:rsid w:val="00EE6BC4"/>
    <w:rsid w:val="00EE76ED"/>
    <w:rsid w:val="00EE7FAD"/>
    <w:rsid w:val="00EF13D0"/>
    <w:rsid w:val="00EF201B"/>
    <w:rsid w:val="00EF408C"/>
    <w:rsid w:val="00EF56F6"/>
    <w:rsid w:val="00EF5FEC"/>
    <w:rsid w:val="00EF6868"/>
    <w:rsid w:val="00EF7318"/>
    <w:rsid w:val="00F0028F"/>
    <w:rsid w:val="00F02B98"/>
    <w:rsid w:val="00F02C77"/>
    <w:rsid w:val="00F02D26"/>
    <w:rsid w:val="00F02DAC"/>
    <w:rsid w:val="00F02FE6"/>
    <w:rsid w:val="00F03F22"/>
    <w:rsid w:val="00F045B0"/>
    <w:rsid w:val="00F04637"/>
    <w:rsid w:val="00F07602"/>
    <w:rsid w:val="00F10CEE"/>
    <w:rsid w:val="00F111EA"/>
    <w:rsid w:val="00F11D0D"/>
    <w:rsid w:val="00F12039"/>
    <w:rsid w:val="00F129E3"/>
    <w:rsid w:val="00F13B61"/>
    <w:rsid w:val="00F14C2A"/>
    <w:rsid w:val="00F14D3D"/>
    <w:rsid w:val="00F15151"/>
    <w:rsid w:val="00F15C61"/>
    <w:rsid w:val="00F15DE7"/>
    <w:rsid w:val="00F1607D"/>
    <w:rsid w:val="00F16955"/>
    <w:rsid w:val="00F17DE6"/>
    <w:rsid w:val="00F21414"/>
    <w:rsid w:val="00F21671"/>
    <w:rsid w:val="00F2374D"/>
    <w:rsid w:val="00F2458F"/>
    <w:rsid w:val="00F25D4C"/>
    <w:rsid w:val="00F26DFB"/>
    <w:rsid w:val="00F27358"/>
    <w:rsid w:val="00F313B8"/>
    <w:rsid w:val="00F31928"/>
    <w:rsid w:val="00F321C1"/>
    <w:rsid w:val="00F3286B"/>
    <w:rsid w:val="00F349D0"/>
    <w:rsid w:val="00F359A6"/>
    <w:rsid w:val="00F3604F"/>
    <w:rsid w:val="00F36257"/>
    <w:rsid w:val="00F3629A"/>
    <w:rsid w:val="00F402D1"/>
    <w:rsid w:val="00F411FB"/>
    <w:rsid w:val="00F41CA9"/>
    <w:rsid w:val="00F42675"/>
    <w:rsid w:val="00F42CAE"/>
    <w:rsid w:val="00F43190"/>
    <w:rsid w:val="00F4324C"/>
    <w:rsid w:val="00F43CD7"/>
    <w:rsid w:val="00F4515E"/>
    <w:rsid w:val="00F45592"/>
    <w:rsid w:val="00F459E1"/>
    <w:rsid w:val="00F465FD"/>
    <w:rsid w:val="00F5096A"/>
    <w:rsid w:val="00F53608"/>
    <w:rsid w:val="00F53969"/>
    <w:rsid w:val="00F54684"/>
    <w:rsid w:val="00F55726"/>
    <w:rsid w:val="00F5654A"/>
    <w:rsid w:val="00F56AE3"/>
    <w:rsid w:val="00F57400"/>
    <w:rsid w:val="00F61628"/>
    <w:rsid w:val="00F61E81"/>
    <w:rsid w:val="00F61FB8"/>
    <w:rsid w:val="00F62093"/>
    <w:rsid w:val="00F62F6E"/>
    <w:rsid w:val="00F6305D"/>
    <w:rsid w:val="00F64777"/>
    <w:rsid w:val="00F66A67"/>
    <w:rsid w:val="00F66D58"/>
    <w:rsid w:val="00F671E4"/>
    <w:rsid w:val="00F70394"/>
    <w:rsid w:val="00F70E73"/>
    <w:rsid w:val="00F71246"/>
    <w:rsid w:val="00F71718"/>
    <w:rsid w:val="00F71C58"/>
    <w:rsid w:val="00F72E46"/>
    <w:rsid w:val="00F7363B"/>
    <w:rsid w:val="00F73670"/>
    <w:rsid w:val="00F7454C"/>
    <w:rsid w:val="00F74C34"/>
    <w:rsid w:val="00F75670"/>
    <w:rsid w:val="00F76936"/>
    <w:rsid w:val="00F7762F"/>
    <w:rsid w:val="00F77917"/>
    <w:rsid w:val="00F80026"/>
    <w:rsid w:val="00F81BB1"/>
    <w:rsid w:val="00F8249E"/>
    <w:rsid w:val="00F83043"/>
    <w:rsid w:val="00F830F5"/>
    <w:rsid w:val="00F83704"/>
    <w:rsid w:val="00F8415A"/>
    <w:rsid w:val="00F856EB"/>
    <w:rsid w:val="00F86221"/>
    <w:rsid w:val="00F91597"/>
    <w:rsid w:val="00F91770"/>
    <w:rsid w:val="00F91A1A"/>
    <w:rsid w:val="00F91CE1"/>
    <w:rsid w:val="00F91D43"/>
    <w:rsid w:val="00F9238D"/>
    <w:rsid w:val="00F92AC2"/>
    <w:rsid w:val="00F92AEA"/>
    <w:rsid w:val="00F92E9D"/>
    <w:rsid w:val="00F93119"/>
    <w:rsid w:val="00F93996"/>
    <w:rsid w:val="00F93A4D"/>
    <w:rsid w:val="00F948EA"/>
    <w:rsid w:val="00F9641A"/>
    <w:rsid w:val="00F9666E"/>
    <w:rsid w:val="00F967FC"/>
    <w:rsid w:val="00F968E2"/>
    <w:rsid w:val="00F96B4C"/>
    <w:rsid w:val="00F97B82"/>
    <w:rsid w:val="00F97F27"/>
    <w:rsid w:val="00FA028B"/>
    <w:rsid w:val="00FA0E7E"/>
    <w:rsid w:val="00FA1985"/>
    <w:rsid w:val="00FA2A71"/>
    <w:rsid w:val="00FA3BAD"/>
    <w:rsid w:val="00FA5016"/>
    <w:rsid w:val="00FA58D1"/>
    <w:rsid w:val="00FA5EE4"/>
    <w:rsid w:val="00FA637B"/>
    <w:rsid w:val="00FA735F"/>
    <w:rsid w:val="00FB06C2"/>
    <w:rsid w:val="00FB1BEC"/>
    <w:rsid w:val="00FB257E"/>
    <w:rsid w:val="00FB26E2"/>
    <w:rsid w:val="00FB2A97"/>
    <w:rsid w:val="00FB3290"/>
    <w:rsid w:val="00FB602D"/>
    <w:rsid w:val="00FB6A2C"/>
    <w:rsid w:val="00FB6EA1"/>
    <w:rsid w:val="00FB790C"/>
    <w:rsid w:val="00FB7F45"/>
    <w:rsid w:val="00FC003C"/>
    <w:rsid w:val="00FC101F"/>
    <w:rsid w:val="00FC1055"/>
    <w:rsid w:val="00FC15FF"/>
    <w:rsid w:val="00FC16E1"/>
    <w:rsid w:val="00FC1DAE"/>
    <w:rsid w:val="00FC4535"/>
    <w:rsid w:val="00FC4648"/>
    <w:rsid w:val="00FC4C6E"/>
    <w:rsid w:val="00FC576E"/>
    <w:rsid w:val="00FC5911"/>
    <w:rsid w:val="00FC6118"/>
    <w:rsid w:val="00FC7042"/>
    <w:rsid w:val="00FC75B8"/>
    <w:rsid w:val="00FD0F8F"/>
    <w:rsid w:val="00FD25DB"/>
    <w:rsid w:val="00FD33A2"/>
    <w:rsid w:val="00FD33BD"/>
    <w:rsid w:val="00FD374C"/>
    <w:rsid w:val="00FD4B2A"/>
    <w:rsid w:val="00FD5308"/>
    <w:rsid w:val="00FD59E2"/>
    <w:rsid w:val="00FD6CA5"/>
    <w:rsid w:val="00FD723C"/>
    <w:rsid w:val="00FD7ED0"/>
    <w:rsid w:val="00FE06C7"/>
    <w:rsid w:val="00FE0E2F"/>
    <w:rsid w:val="00FE0EED"/>
    <w:rsid w:val="00FE199E"/>
    <w:rsid w:val="00FE1A55"/>
    <w:rsid w:val="00FE22ED"/>
    <w:rsid w:val="00FE2F92"/>
    <w:rsid w:val="00FE3433"/>
    <w:rsid w:val="00FE47ED"/>
    <w:rsid w:val="00FE4C2E"/>
    <w:rsid w:val="00FE50DD"/>
    <w:rsid w:val="00FE53CA"/>
    <w:rsid w:val="00FE5AF0"/>
    <w:rsid w:val="00FE5CD0"/>
    <w:rsid w:val="00FE6734"/>
    <w:rsid w:val="00FE70E0"/>
    <w:rsid w:val="00FE79F3"/>
    <w:rsid w:val="00FE7FEB"/>
    <w:rsid w:val="00FF0218"/>
    <w:rsid w:val="00FF0511"/>
    <w:rsid w:val="00FF0675"/>
    <w:rsid w:val="00FF07A7"/>
    <w:rsid w:val="00FF0CC9"/>
    <w:rsid w:val="00FF13CE"/>
    <w:rsid w:val="00FF1489"/>
    <w:rsid w:val="00FF14DD"/>
    <w:rsid w:val="00FF285E"/>
    <w:rsid w:val="00FF2D69"/>
    <w:rsid w:val="00FF37E4"/>
    <w:rsid w:val="00FF4CC8"/>
    <w:rsid w:val="00FF698D"/>
    <w:rsid w:val="00FF7B86"/>
    <w:rsid w:val="00FF7CAE"/>
    <w:rsid w:val="08370704"/>
    <w:rsid w:val="0EB54DDD"/>
    <w:rsid w:val="11187993"/>
    <w:rsid w:val="6F343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28"/>
      <w:lang w:val="en-US" w:eastAsia="zh-CN" w:bidi="ar-SA"/>
    </w:rPr>
  </w:style>
  <w:style w:type="paragraph" w:styleId="2">
    <w:name w:val="heading 1"/>
    <w:basedOn w:val="1"/>
    <w:next w:val="1"/>
    <w:link w:val="37"/>
    <w:qFormat/>
    <w:uiPriority w:val="9"/>
    <w:pPr>
      <w:keepNext/>
      <w:keepLines/>
      <w:spacing w:before="340" w:after="330" w:line="578" w:lineRule="auto"/>
      <w:outlineLvl w:val="0"/>
    </w:pPr>
    <w:rPr>
      <w:b/>
      <w:kern w:val="44"/>
      <w:sz w:val="44"/>
      <w:lang w:val="zh-CN"/>
    </w:rPr>
  </w:style>
  <w:style w:type="paragraph" w:styleId="3">
    <w:name w:val="heading 2"/>
    <w:basedOn w:val="1"/>
    <w:next w:val="4"/>
    <w:link w:val="39"/>
    <w:qFormat/>
    <w:uiPriority w:val="9"/>
    <w:pPr>
      <w:keepNext/>
      <w:keepLines/>
      <w:spacing w:before="260" w:after="260" w:line="416" w:lineRule="auto"/>
      <w:outlineLvl w:val="1"/>
    </w:pPr>
    <w:rPr>
      <w:rFonts w:ascii="Arial" w:hAnsi="Arial" w:eastAsia="黑体"/>
      <w:b/>
      <w:sz w:val="32"/>
      <w:lang w:val="zh-CN"/>
    </w:rPr>
  </w:style>
  <w:style w:type="paragraph" w:styleId="5">
    <w:name w:val="heading 3"/>
    <w:basedOn w:val="1"/>
    <w:next w:val="4"/>
    <w:link w:val="112"/>
    <w:qFormat/>
    <w:uiPriority w:val="9"/>
    <w:pPr>
      <w:keepNext/>
      <w:keepLines/>
      <w:spacing w:before="260" w:after="260" w:line="416" w:lineRule="auto"/>
      <w:outlineLvl w:val="2"/>
    </w:pPr>
    <w:rPr>
      <w:b/>
      <w:sz w:val="32"/>
    </w:rPr>
  </w:style>
  <w:style w:type="paragraph" w:styleId="6">
    <w:name w:val="heading 4"/>
    <w:basedOn w:val="1"/>
    <w:next w:val="4"/>
    <w:link w:val="113"/>
    <w:qFormat/>
    <w:uiPriority w:val="9"/>
    <w:pPr>
      <w:keepNext/>
      <w:keepLines/>
      <w:spacing w:before="280" w:after="290" w:line="376" w:lineRule="auto"/>
      <w:outlineLvl w:val="3"/>
    </w:pPr>
    <w:rPr>
      <w:rFonts w:ascii="Arial" w:hAnsi="Arial" w:eastAsia="黑体"/>
      <w:b/>
    </w:rPr>
  </w:style>
  <w:style w:type="paragraph" w:styleId="7">
    <w:name w:val="heading 5"/>
    <w:basedOn w:val="1"/>
    <w:next w:val="1"/>
    <w:link w:val="114"/>
    <w:qFormat/>
    <w:uiPriority w:val="9"/>
    <w:pPr>
      <w:keepNext/>
      <w:keepLines/>
      <w:spacing w:before="280" w:after="290" w:line="376" w:lineRule="auto"/>
      <w:outlineLvl w:val="4"/>
    </w:pPr>
    <w:rPr>
      <w:rFonts w:ascii="宋体" w:eastAsia="宋体"/>
      <w:b/>
      <w:bCs/>
      <w:kern w:val="0"/>
      <w:szCs w:val="28"/>
    </w:rPr>
  </w:style>
  <w:style w:type="paragraph" w:styleId="8">
    <w:name w:val="heading 6"/>
    <w:basedOn w:val="1"/>
    <w:next w:val="1"/>
    <w:link w:val="40"/>
    <w:unhideWhenUsed/>
    <w:qFormat/>
    <w:uiPriority w:val="9"/>
    <w:pPr>
      <w:keepLines/>
      <w:spacing w:line="360" w:lineRule="auto"/>
      <w:ind w:left="142"/>
      <w:jc w:val="left"/>
      <w:outlineLvl w:val="5"/>
    </w:pPr>
    <w:rPr>
      <w:rFonts w:eastAsia="宋体"/>
      <w:b/>
      <w:bCs/>
      <w:sz w:val="24"/>
      <w:szCs w:val="24"/>
      <w:lang w:val="zh-CN"/>
    </w:rPr>
  </w:style>
  <w:style w:type="paragraph" w:styleId="9">
    <w:name w:val="heading 7"/>
    <w:basedOn w:val="1"/>
    <w:next w:val="1"/>
    <w:link w:val="41"/>
    <w:unhideWhenUsed/>
    <w:qFormat/>
    <w:uiPriority w:val="9"/>
    <w:pPr>
      <w:keepNext/>
      <w:keepLines/>
      <w:spacing w:line="360" w:lineRule="auto"/>
      <w:ind w:left="142"/>
      <w:jc w:val="left"/>
      <w:outlineLvl w:val="6"/>
    </w:pPr>
    <w:rPr>
      <w:rFonts w:eastAsia="宋体"/>
      <w:b/>
      <w:bCs/>
      <w:sz w:val="24"/>
      <w:szCs w:val="24"/>
      <w:lang w:val="zh-CN"/>
    </w:rPr>
  </w:style>
  <w:style w:type="character" w:default="1" w:styleId="30">
    <w:name w:val="Default Paragraph Font"/>
    <w:semiHidden/>
    <w:unhideWhenUsed/>
    <w:qFormat/>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4">
    <w:name w:val="Normal Indent"/>
    <w:basedOn w:val="1"/>
    <w:link w:val="38"/>
    <w:qFormat/>
    <w:uiPriority w:val="0"/>
    <w:pPr>
      <w:ind w:firstLine="420"/>
    </w:pPr>
    <w:rPr>
      <w:lang w:val="zh-CN"/>
    </w:rPr>
  </w:style>
  <w:style w:type="paragraph" w:styleId="10">
    <w:name w:val="Note Heading"/>
    <w:basedOn w:val="1"/>
    <w:next w:val="1"/>
    <w:link w:val="60"/>
    <w:qFormat/>
    <w:uiPriority w:val="0"/>
    <w:pPr>
      <w:spacing w:line="360" w:lineRule="auto"/>
      <w:jc w:val="center"/>
    </w:pPr>
    <w:rPr>
      <w:rFonts w:ascii="黑体" w:eastAsia="黑体"/>
      <w:b/>
      <w:sz w:val="24"/>
      <w:szCs w:val="24"/>
      <w:lang w:val="zh-CN"/>
    </w:rPr>
  </w:style>
  <w:style w:type="paragraph" w:styleId="11">
    <w:name w:val="caption"/>
    <w:basedOn w:val="1"/>
    <w:next w:val="1"/>
    <w:qFormat/>
    <w:uiPriority w:val="0"/>
    <w:pPr>
      <w:spacing w:before="152" w:after="160"/>
    </w:pPr>
    <w:rPr>
      <w:rFonts w:ascii="Arial" w:hAnsi="Arial" w:eastAsia="黑体"/>
    </w:rPr>
  </w:style>
  <w:style w:type="paragraph" w:styleId="12">
    <w:name w:val="Document Map"/>
    <w:basedOn w:val="1"/>
    <w:link w:val="43"/>
    <w:qFormat/>
    <w:uiPriority w:val="99"/>
    <w:pPr>
      <w:shd w:val="clear" w:color="auto" w:fill="000080"/>
    </w:pPr>
    <w:rPr>
      <w:lang w:val="zh-CN"/>
    </w:rPr>
  </w:style>
  <w:style w:type="paragraph" w:styleId="13">
    <w:name w:val="annotation text"/>
    <w:basedOn w:val="1"/>
    <w:link w:val="46"/>
    <w:qFormat/>
    <w:uiPriority w:val="99"/>
    <w:pPr>
      <w:jc w:val="left"/>
    </w:pPr>
    <w:rPr>
      <w:lang w:val="zh-CN"/>
    </w:rPr>
  </w:style>
  <w:style w:type="paragraph" w:styleId="14">
    <w:name w:val="Body Text"/>
    <w:basedOn w:val="1"/>
    <w:qFormat/>
    <w:uiPriority w:val="0"/>
    <w:rPr>
      <w:rFonts w:ascii="宋体" w:hAnsi="宋体" w:eastAsia="宋体"/>
      <w:sz w:val="24"/>
    </w:rPr>
  </w:style>
  <w:style w:type="paragraph" w:styleId="15">
    <w:name w:val="Body Text Indent"/>
    <w:basedOn w:val="1"/>
    <w:link w:val="115"/>
    <w:qFormat/>
    <w:uiPriority w:val="0"/>
    <w:pPr>
      <w:ind w:firstLine="480"/>
    </w:pPr>
    <w:rPr>
      <w:rFonts w:ascii="仿宋_GB2312"/>
    </w:rPr>
  </w:style>
  <w:style w:type="paragraph" w:styleId="16">
    <w:name w:val="Plain Text"/>
    <w:basedOn w:val="1"/>
    <w:link w:val="42"/>
    <w:qFormat/>
    <w:uiPriority w:val="0"/>
    <w:rPr>
      <w:rFonts w:ascii="宋体" w:hAnsi="Courier New"/>
      <w:lang w:val="zh-CN"/>
    </w:rPr>
  </w:style>
  <w:style w:type="paragraph" w:styleId="17">
    <w:name w:val="Date"/>
    <w:basedOn w:val="1"/>
    <w:next w:val="1"/>
    <w:link w:val="66"/>
    <w:qFormat/>
    <w:uiPriority w:val="99"/>
    <w:pPr>
      <w:ind w:left="100" w:leftChars="2500"/>
    </w:pPr>
    <w:rPr>
      <w:lang w:val="zh-CN"/>
    </w:rPr>
  </w:style>
  <w:style w:type="paragraph" w:styleId="18">
    <w:name w:val="Body Text Indent 2"/>
    <w:basedOn w:val="1"/>
    <w:qFormat/>
    <w:uiPriority w:val="0"/>
    <w:pPr>
      <w:spacing w:line="500" w:lineRule="exact"/>
      <w:ind w:left="11" w:leftChars="4" w:firstLine="487" w:firstLineChars="200"/>
    </w:pPr>
    <w:rPr>
      <w:rFonts w:ascii="宋体" w:hAnsi="宋体" w:eastAsia="宋体"/>
      <w:sz w:val="24"/>
    </w:rPr>
  </w:style>
  <w:style w:type="paragraph" w:styleId="19">
    <w:name w:val="Balloon Text"/>
    <w:basedOn w:val="1"/>
    <w:link w:val="57"/>
    <w:unhideWhenUsed/>
    <w:qFormat/>
    <w:uiPriority w:val="99"/>
    <w:rPr>
      <w:rFonts w:ascii="Calibri" w:hAnsi="Calibri" w:eastAsia="宋体"/>
      <w:sz w:val="18"/>
      <w:szCs w:val="18"/>
      <w:lang w:val="zh-CN"/>
    </w:rPr>
  </w:style>
  <w:style w:type="paragraph" w:styleId="20">
    <w:name w:val="footer"/>
    <w:basedOn w:val="1"/>
    <w:link w:val="45"/>
    <w:qFormat/>
    <w:uiPriority w:val="99"/>
    <w:pPr>
      <w:tabs>
        <w:tab w:val="center" w:pos="4153"/>
        <w:tab w:val="right" w:pos="8306"/>
      </w:tabs>
      <w:snapToGrid w:val="0"/>
      <w:jc w:val="left"/>
    </w:pPr>
    <w:rPr>
      <w:sz w:val="18"/>
      <w:lang w:val="zh-CN"/>
    </w:rPr>
  </w:style>
  <w:style w:type="paragraph" w:styleId="21">
    <w:name w:val="header"/>
    <w:basedOn w:val="1"/>
    <w:link w:val="44"/>
    <w:qFormat/>
    <w:uiPriority w:val="99"/>
    <w:pPr>
      <w:pBdr>
        <w:bottom w:val="thinThickSmallGap" w:color="auto" w:sz="24" w:space="1"/>
      </w:pBdr>
      <w:tabs>
        <w:tab w:val="center" w:pos="4153"/>
        <w:tab w:val="right" w:pos="8306"/>
      </w:tabs>
      <w:snapToGrid w:val="0"/>
      <w:jc w:val="center"/>
    </w:pPr>
    <w:rPr>
      <w:sz w:val="18"/>
      <w:lang w:val="zh-CN"/>
    </w:rPr>
  </w:style>
  <w:style w:type="paragraph" w:styleId="22">
    <w:name w:val="Subtitle"/>
    <w:basedOn w:val="1"/>
    <w:next w:val="1"/>
    <w:link w:val="125"/>
    <w:qFormat/>
    <w:uiPriority w:val="11"/>
    <w:pPr>
      <w:spacing w:before="240" w:after="60" w:line="312" w:lineRule="auto"/>
      <w:ind w:firstLine="200" w:firstLineChars="200"/>
      <w:jc w:val="center"/>
      <w:outlineLvl w:val="1"/>
    </w:pPr>
    <w:rPr>
      <w:rFonts w:ascii="Cambria" w:hAnsi="Cambria" w:eastAsia="宋体"/>
      <w:b/>
      <w:bCs/>
      <w:kern w:val="28"/>
      <w:sz w:val="32"/>
      <w:szCs w:val="32"/>
    </w:rPr>
  </w:style>
  <w:style w:type="paragraph" w:styleId="23">
    <w:name w:val="Body Text Indent 3"/>
    <w:basedOn w:val="1"/>
    <w:link w:val="116"/>
    <w:qFormat/>
    <w:uiPriority w:val="0"/>
    <w:pPr>
      <w:ind w:firstLine="487" w:firstLineChars="200"/>
    </w:pPr>
    <w:rPr>
      <w:rFonts w:ascii="宋体" w:hAnsi="宋体" w:eastAsia="宋体"/>
      <w:sz w:val="24"/>
    </w:rPr>
  </w:style>
  <w:style w:type="paragraph" w:styleId="24">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styleId="25">
    <w:name w:val="Title"/>
    <w:basedOn w:val="1"/>
    <w:next w:val="1"/>
    <w:link w:val="92"/>
    <w:qFormat/>
    <w:uiPriority w:val="0"/>
    <w:pPr>
      <w:spacing w:beforeLines="50" w:afterLines="50" w:line="360" w:lineRule="auto"/>
      <w:jc w:val="center"/>
      <w:outlineLvl w:val="0"/>
    </w:pPr>
    <w:rPr>
      <w:rFonts w:ascii="Cambria" w:hAnsi="Cambria" w:eastAsia="宋体"/>
      <w:b/>
      <w:bCs/>
      <w:color w:val="002060"/>
      <w:sz w:val="32"/>
      <w:szCs w:val="32"/>
      <w:lang w:val="zh-CN"/>
    </w:rPr>
  </w:style>
  <w:style w:type="paragraph" w:styleId="26">
    <w:name w:val="annotation subject"/>
    <w:basedOn w:val="13"/>
    <w:next w:val="13"/>
    <w:link w:val="97"/>
    <w:unhideWhenUsed/>
    <w:qFormat/>
    <w:uiPriority w:val="99"/>
    <w:rPr>
      <w:b/>
      <w:bCs/>
    </w:rPr>
  </w:style>
  <w:style w:type="table" w:styleId="28">
    <w:name w:val="Table Grid"/>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9">
    <w:name w:val="Medium Grid 3 Accent 1"/>
    <w:basedOn w:val="27"/>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qFormat/>
    <w:uiPriority w:val="99"/>
    <w:rPr>
      <w:color w:val="800080"/>
      <w:u w:val="single"/>
    </w:rPr>
  </w:style>
  <w:style w:type="character" w:styleId="34">
    <w:name w:val="Emphasis"/>
    <w:qFormat/>
    <w:uiPriority w:val="20"/>
    <w:rPr>
      <w:i/>
      <w:iCs/>
    </w:rPr>
  </w:style>
  <w:style w:type="character" w:styleId="35">
    <w:name w:val="Hyperlink"/>
    <w:qFormat/>
    <w:uiPriority w:val="99"/>
    <w:rPr>
      <w:color w:val="0000FF"/>
      <w:u w:val="single"/>
    </w:rPr>
  </w:style>
  <w:style w:type="character" w:styleId="36">
    <w:name w:val="annotation reference"/>
    <w:qFormat/>
    <w:uiPriority w:val="0"/>
    <w:rPr>
      <w:sz w:val="21"/>
    </w:rPr>
  </w:style>
  <w:style w:type="character" w:customStyle="1" w:styleId="37">
    <w:name w:val="标题 1 字符1"/>
    <w:link w:val="2"/>
    <w:qFormat/>
    <w:uiPriority w:val="9"/>
    <w:rPr>
      <w:rFonts w:eastAsia="仿宋_GB2312"/>
      <w:b/>
      <w:kern w:val="44"/>
      <w:sz w:val="44"/>
    </w:rPr>
  </w:style>
  <w:style w:type="character" w:customStyle="1" w:styleId="38">
    <w:name w:val="正文缩进 字符1"/>
    <w:link w:val="4"/>
    <w:qFormat/>
    <w:uiPriority w:val="0"/>
    <w:rPr>
      <w:rFonts w:eastAsia="仿宋_GB2312"/>
      <w:kern w:val="2"/>
      <w:sz w:val="28"/>
    </w:rPr>
  </w:style>
  <w:style w:type="character" w:customStyle="1" w:styleId="39">
    <w:name w:val="标题 2 字符1"/>
    <w:link w:val="3"/>
    <w:qFormat/>
    <w:locked/>
    <w:uiPriority w:val="99"/>
    <w:rPr>
      <w:rFonts w:ascii="Arial" w:hAnsi="Arial" w:eastAsia="黑体"/>
      <w:b/>
      <w:kern w:val="2"/>
      <w:sz w:val="32"/>
    </w:rPr>
  </w:style>
  <w:style w:type="character" w:customStyle="1" w:styleId="40">
    <w:name w:val="标题 6 字符1"/>
    <w:link w:val="8"/>
    <w:qFormat/>
    <w:uiPriority w:val="9"/>
    <w:rPr>
      <w:b/>
      <w:bCs/>
      <w:kern w:val="2"/>
      <w:sz w:val="24"/>
      <w:szCs w:val="24"/>
    </w:rPr>
  </w:style>
  <w:style w:type="character" w:customStyle="1" w:styleId="41">
    <w:name w:val="标题 7 字符1"/>
    <w:link w:val="9"/>
    <w:qFormat/>
    <w:uiPriority w:val="9"/>
    <w:rPr>
      <w:b/>
      <w:bCs/>
      <w:kern w:val="2"/>
      <w:sz w:val="24"/>
      <w:szCs w:val="24"/>
    </w:rPr>
  </w:style>
  <w:style w:type="character" w:customStyle="1" w:styleId="42">
    <w:name w:val="纯文本 字符1"/>
    <w:link w:val="16"/>
    <w:qFormat/>
    <w:uiPriority w:val="0"/>
    <w:rPr>
      <w:rFonts w:ascii="宋体" w:hAnsi="Courier New" w:eastAsia="仿宋_GB2312"/>
      <w:kern w:val="2"/>
      <w:sz w:val="28"/>
    </w:rPr>
  </w:style>
  <w:style w:type="character" w:customStyle="1" w:styleId="43">
    <w:name w:val="文档结构图 字符1"/>
    <w:link w:val="12"/>
    <w:qFormat/>
    <w:locked/>
    <w:uiPriority w:val="99"/>
    <w:rPr>
      <w:rFonts w:eastAsia="仿宋_GB2312"/>
      <w:kern w:val="2"/>
      <w:sz w:val="28"/>
      <w:shd w:val="clear" w:color="auto" w:fill="000080"/>
    </w:rPr>
  </w:style>
  <w:style w:type="character" w:customStyle="1" w:styleId="44">
    <w:name w:val="页眉 字符1"/>
    <w:link w:val="21"/>
    <w:qFormat/>
    <w:uiPriority w:val="99"/>
    <w:rPr>
      <w:rFonts w:eastAsia="仿宋_GB2312"/>
      <w:kern w:val="2"/>
      <w:sz w:val="18"/>
    </w:rPr>
  </w:style>
  <w:style w:type="character" w:customStyle="1" w:styleId="45">
    <w:name w:val="页脚 字符1"/>
    <w:link w:val="20"/>
    <w:qFormat/>
    <w:uiPriority w:val="99"/>
    <w:rPr>
      <w:rFonts w:eastAsia="仿宋_GB2312"/>
      <w:kern w:val="2"/>
      <w:sz w:val="18"/>
    </w:rPr>
  </w:style>
  <w:style w:type="character" w:customStyle="1" w:styleId="46">
    <w:name w:val="批注文字 字符1"/>
    <w:link w:val="13"/>
    <w:qFormat/>
    <w:uiPriority w:val="0"/>
    <w:rPr>
      <w:rFonts w:eastAsia="仿宋_GB2312"/>
      <w:kern w:val="2"/>
      <w:sz w:val="28"/>
    </w:rPr>
  </w:style>
  <w:style w:type="paragraph" w:customStyle="1" w:styleId="47">
    <w:name w:val="xl40"/>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hint="eastAsia" w:ascii="仿宋_GB2312" w:hAnsi="宋体"/>
      <w:kern w:val="0"/>
      <w:sz w:val="20"/>
    </w:rPr>
  </w:style>
  <w:style w:type="character" w:customStyle="1" w:styleId="48">
    <w:name w:val="CITE"/>
    <w:qFormat/>
    <w:uiPriority w:val="0"/>
    <w:rPr>
      <w:i/>
    </w:rPr>
  </w:style>
  <w:style w:type="paragraph" w:customStyle="1" w:styleId="49">
    <w:name w:val="样式1"/>
    <w:basedOn w:val="21"/>
    <w:qFormat/>
    <w:uiPriority w:val="0"/>
    <w:rPr>
      <w:rFonts w:ascii="宋体" w:hAnsi="宋体" w:eastAsia="宋体"/>
      <w:sz w:val="21"/>
      <w:szCs w:val="18"/>
    </w:rPr>
  </w:style>
  <w:style w:type="paragraph" w:customStyle="1" w:styleId="50">
    <w:name w:val="正文首行缩进1"/>
    <w:basedOn w:val="14"/>
    <w:qFormat/>
    <w:uiPriority w:val="0"/>
    <w:pPr>
      <w:spacing w:after="120"/>
      <w:ind w:firstLine="420"/>
    </w:pPr>
    <w:rPr>
      <w:rFonts w:ascii="Times New Roman" w:hAnsi="Times New Roman" w:eastAsia="仿宋_GB2312"/>
      <w:sz w:val="28"/>
    </w:rPr>
  </w:style>
  <w:style w:type="paragraph" w:customStyle="1" w:styleId="51">
    <w:name w:val="1"/>
    <w:basedOn w:val="1"/>
    <w:next w:val="15"/>
    <w:qFormat/>
    <w:uiPriority w:val="0"/>
    <w:pPr>
      <w:ind w:firstLine="480"/>
    </w:pPr>
    <w:rPr>
      <w:rFonts w:ascii="仿宋_GB2312"/>
    </w:rPr>
  </w:style>
  <w:style w:type="paragraph" w:customStyle="1" w:styleId="52">
    <w:name w:val="Char"/>
    <w:basedOn w:val="1"/>
    <w:autoRedefine/>
    <w:uiPriority w:val="0"/>
    <w:pPr>
      <w:adjustRightInd w:val="0"/>
      <w:snapToGrid w:val="0"/>
      <w:spacing w:line="360" w:lineRule="auto"/>
      <w:ind w:firstLine="200"/>
      <w:jc w:val="left"/>
    </w:pPr>
    <w:rPr>
      <w:rFonts w:ascii="宋体" w:hAnsi="宋体" w:cs="宋体"/>
      <w:sz w:val="24"/>
      <w:szCs w:val="24"/>
    </w:rPr>
  </w:style>
  <w:style w:type="paragraph" w:customStyle="1" w:styleId="53">
    <w:name w:val="Char Char Char Char"/>
    <w:basedOn w:val="1"/>
    <w:qFormat/>
    <w:uiPriority w:val="0"/>
    <w:pPr>
      <w:spacing w:line="360" w:lineRule="auto"/>
      <w:ind w:firstLine="200" w:firstLineChars="200"/>
    </w:pPr>
    <w:rPr>
      <w:rFonts w:ascii="宋体" w:hAnsi="宋体" w:eastAsia="宋体" w:cs="宋体"/>
      <w:sz w:val="24"/>
      <w:szCs w:val="24"/>
    </w:rPr>
  </w:style>
  <w:style w:type="paragraph" w:customStyle="1" w:styleId="54">
    <w:name w:val="列出段落"/>
    <w:basedOn w:val="1"/>
    <w:link w:val="110"/>
    <w:qFormat/>
    <w:uiPriority w:val="34"/>
    <w:pPr>
      <w:ind w:firstLine="420" w:firstLineChars="200"/>
    </w:pPr>
    <w:rPr>
      <w:rFonts w:ascii="Calibri" w:hAnsi="Calibri" w:eastAsia="宋体"/>
      <w:sz w:val="21"/>
      <w:szCs w:val="22"/>
    </w:rPr>
  </w:style>
  <w:style w:type="paragraph" w:styleId="55">
    <w:name w:val="No Spacing"/>
    <w:link w:val="56"/>
    <w:qFormat/>
    <w:uiPriority w:val="1"/>
    <w:rPr>
      <w:rFonts w:ascii="Calibri" w:hAnsi="Calibri" w:eastAsia="宋体" w:cs="Times New Roman"/>
      <w:sz w:val="22"/>
      <w:szCs w:val="22"/>
      <w:lang w:val="en-US" w:eastAsia="zh-CN" w:bidi="ar-SA"/>
    </w:rPr>
  </w:style>
  <w:style w:type="character" w:customStyle="1" w:styleId="56">
    <w:name w:val="无间隔 字符"/>
    <w:link w:val="55"/>
    <w:qFormat/>
    <w:uiPriority w:val="1"/>
    <w:rPr>
      <w:rFonts w:ascii="Calibri" w:hAnsi="Calibri"/>
      <w:sz w:val="22"/>
      <w:szCs w:val="22"/>
      <w:lang w:val="en-US" w:eastAsia="zh-CN" w:bidi="ar-SA"/>
    </w:rPr>
  </w:style>
  <w:style w:type="character" w:customStyle="1" w:styleId="57">
    <w:name w:val="批注框文本 字符1"/>
    <w:link w:val="19"/>
    <w:qFormat/>
    <w:uiPriority w:val="99"/>
    <w:rPr>
      <w:rFonts w:ascii="Calibri" w:hAnsi="Calibri"/>
      <w:kern w:val="2"/>
      <w:sz w:val="18"/>
      <w:szCs w:val="18"/>
    </w:rPr>
  </w:style>
  <w:style w:type="character" w:customStyle="1" w:styleId="58">
    <w:name w:val="纯文本 Char1"/>
    <w:qFormat/>
    <w:uiPriority w:val="0"/>
    <w:rPr>
      <w:rFonts w:ascii="宋体" w:hAnsi="Courier New" w:eastAsia="仿宋_GB2312"/>
      <w:kern w:val="2"/>
      <w:sz w:val="28"/>
    </w:rPr>
  </w:style>
  <w:style w:type="paragraph" w:customStyle="1" w:styleId="59">
    <w:name w:val="默认段落字体 Para Char"/>
    <w:basedOn w:val="1"/>
    <w:qFormat/>
    <w:uiPriority w:val="0"/>
    <w:rPr>
      <w:rFonts w:eastAsia="宋体"/>
      <w:sz w:val="21"/>
      <w:szCs w:val="24"/>
    </w:rPr>
  </w:style>
  <w:style w:type="character" w:customStyle="1" w:styleId="60">
    <w:name w:val="注释标题 字符"/>
    <w:link w:val="10"/>
    <w:qFormat/>
    <w:uiPriority w:val="0"/>
    <w:rPr>
      <w:rFonts w:ascii="黑体" w:eastAsia="黑体"/>
      <w:b/>
      <w:kern w:val="2"/>
      <w:sz w:val="24"/>
      <w:szCs w:val="24"/>
    </w:rPr>
  </w:style>
  <w:style w:type="paragraph" w:customStyle="1" w:styleId="61">
    <w:name w:val="表格标题"/>
    <w:basedOn w:val="1"/>
    <w:qFormat/>
    <w:uiPriority w:val="0"/>
    <w:pPr>
      <w:tabs>
        <w:tab w:val="left" w:pos="360"/>
      </w:tabs>
      <w:jc w:val="center"/>
    </w:pPr>
    <w:rPr>
      <w:rFonts w:eastAsia="宋体"/>
      <w:b/>
      <w:sz w:val="21"/>
      <w:szCs w:val="22"/>
    </w:rPr>
  </w:style>
  <w:style w:type="paragraph" w:customStyle="1" w:styleId="62">
    <w:name w:val="表样式"/>
    <w:basedOn w:val="1"/>
    <w:qFormat/>
    <w:uiPriority w:val="0"/>
    <w:pPr>
      <w:jc w:val="center"/>
    </w:pPr>
    <w:rPr>
      <w:rFonts w:eastAsia="宋体"/>
      <w:sz w:val="21"/>
      <w:szCs w:val="22"/>
    </w:rPr>
  </w:style>
  <w:style w:type="paragraph" w:customStyle="1" w:styleId="63">
    <w:name w:val="图标题"/>
    <w:autoRedefine/>
    <w:qFormat/>
    <w:uiPriority w:val="0"/>
    <w:pPr>
      <w:tabs>
        <w:tab w:val="left" w:pos="360"/>
      </w:tabs>
      <w:jc w:val="center"/>
    </w:pPr>
    <w:rPr>
      <w:rFonts w:ascii="仿宋" w:hAnsi="仿宋" w:eastAsia="仿宋" w:cs="Times New Roman"/>
      <w:b/>
      <w:kern w:val="2"/>
      <w:sz w:val="21"/>
      <w:szCs w:val="22"/>
      <w:lang w:val="en-US" w:eastAsia="zh-CN" w:bidi="ar-SA"/>
    </w:rPr>
  </w:style>
  <w:style w:type="paragraph" w:customStyle="1" w:styleId="64">
    <w:name w:val="纯文本1"/>
    <w:basedOn w:val="1"/>
    <w:qFormat/>
    <w:uiPriority w:val="0"/>
    <w:rPr>
      <w:rFonts w:ascii="宋体" w:hAnsi="Courier New"/>
      <w:szCs w:val="22"/>
    </w:rPr>
  </w:style>
  <w:style w:type="paragraph" w:customStyle="1" w:styleId="65">
    <w:name w:val="3333"/>
    <w:basedOn w:val="1"/>
    <w:autoRedefine/>
    <w:qFormat/>
    <w:uiPriority w:val="0"/>
    <w:pPr>
      <w:adjustRightInd w:val="0"/>
      <w:spacing w:before="360" w:beforeLines="150" w:line="360" w:lineRule="auto"/>
      <w:ind w:firstLine="442" w:firstLineChars="200"/>
      <w:jc w:val="left"/>
      <w:textAlignment w:val="baseline"/>
      <w:outlineLvl w:val="2"/>
    </w:pPr>
    <w:rPr>
      <w:rFonts w:eastAsia="宋体"/>
      <w:b/>
      <w:bCs/>
      <w:kern w:val="0"/>
      <w:sz w:val="22"/>
      <w:szCs w:val="22"/>
    </w:rPr>
  </w:style>
  <w:style w:type="character" w:customStyle="1" w:styleId="66">
    <w:name w:val="日期 字符1"/>
    <w:link w:val="17"/>
    <w:qFormat/>
    <w:uiPriority w:val="0"/>
    <w:rPr>
      <w:rFonts w:eastAsia="仿宋_GB2312"/>
      <w:kern w:val="2"/>
      <w:sz w:val="28"/>
    </w:rPr>
  </w:style>
  <w:style w:type="paragraph" w:customStyle="1" w:styleId="67">
    <w:name w:val="11 1级标题"/>
    <w:basedOn w:val="2"/>
    <w:qFormat/>
    <w:uiPriority w:val="0"/>
    <w:pPr>
      <w:keepNext w:val="0"/>
      <w:keepLines w:val="0"/>
      <w:widowControl/>
      <w:spacing w:before="0" w:after="80" w:line="240" w:lineRule="auto"/>
      <w:jc w:val="left"/>
    </w:pPr>
    <w:rPr>
      <w:rFonts w:ascii="Cambria" w:hAnsi="Cambria" w:eastAsia="宋体"/>
      <w:bCs/>
      <w:kern w:val="0"/>
      <w:sz w:val="28"/>
      <w:szCs w:val="28"/>
    </w:rPr>
  </w:style>
  <w:style w:type="paragraph" w:customStyle="1" w:styleId="68">
    <w:name w:val="11 二级标题"/>
    <w:basedOn w:val="2"/>
    <w:qFormat/>
    <w:uiPriority w:val="0"/>
    <w:pPr>
      <w:keepNext w:val="0"/>
      <w:keepLines w:val="0"/>
      <w:widowControl/>
      <w:spacing w:before="120" w:after="80" w:line="240" w:lineRule="auto"/>
      <w:jc w:val="left"/>
      <w:outlineLvl w:val="1"/>
    </w:pPr>
    <w:rPr>
      <w:rFonts w:ascii="Cambria" w:hAnsi="Cambria" w:eastAsia="宋体"/>
      <w:bCs/>
      <w:kern w:val="0"/>
      <w:sz w:val="28"/>
      <w:szCs w:val="28"/>
    </w:rPr>
  </w:style>
  <w:style w:type="paragraph" w:customStyle="1" w:styleId="69">
    <w:name w:val="11 正文"/>
    <w:basedOn w:val="1"/>
    <w:qFormat/>
    <w:uiPriority w:val="0"/>
    <w:pPr>
      <w:ind w:firstLine="480" w:firstLineChars="197"/>
    </w:pPr>
    <w:rPr>
      <w:rFonts w:eastAsia="宋体"/>
      <w:kern w:val="0"/>
      <w:sz w:val="24"/>
      <w:szCs w:val="24"/>
    </w:rPr>
  </w:style>
  <w:style w:type="paragraph" w:customStyle="1" w:styleId="70">
    <w:name w:val="11 表头"/>
    <w:basedOn w:val="4"/>
    <w:qFormat/>
    <w:uiPriority w:val="0"/>
    <w:pPr>
      <w:spacing w:before="30" w:beforeLines="30" w:after="30" w:afterLines="30"/>
      <w:ind w:firstLine="0"/>
      <w:jc w:val="center"/>
      <w:outlineLvl w:val="6"/>
    </w:pPr>
    <w:rPr>
      <w:rFonts w:ascii="宋体" w:hAnsi="宋体" w:eastAsia="宋体" w:cs="宋体"/>
      <w:b/>
      <w:kern w:val="0"/>
      <w:sz w:val="24"/>
      <w:szCs w:val="24"/>
    </w:rPr>
  </w:style>
  <w:style w:type="paragraph" w:customStyle="1" w:styleId="71">
    <w:name w:val="11 表中字"/>
    <w:basedOn w:val="1"/>
    <w:qFormat/>
    <w:uiPriority w:val="0"/>
    <w:pPr>
      <w:widowControl/>
      <w:jc w:val="center"/>
    </w:pPr>
    <w:rPr>
      <w:rFonts w:ascii="宋体" w:hAnsi="宋体" w:eastAsia="宋体" w:cs="宋体"/>
      <w:color w:val="000000"/>
      <w:kern w:val="0"/>
      <w:sz w:val="16"/>
      <w:szCs w:val="16"/>
    </w:rPr>
  </w:style>
  <w:style w:type="paragraph" w:customStyle="1" w:styleId="72">
    <w:name w:val="样式2"/>
    <w:basedOn w:val="67"/>
    <w:qFormat/>
    <w:uiPriority w:val="0"/>
    <w:pPr>
      <w:spacing w:before="50" w:beforeLines="50"/>
    </w:pPr>
  </w:style>
  <w:style w:type="paragraph" w:customStyle="1" w:styleId="73">
    <w:name w:val="11 图注"/>
    <w:basedOn w:val="1"/>
    <w:qFormat/>
    <w:uiPriority w:val="0"/>
    <w:pPr>
      <w:jc w:val="center"/>
      <w:outlineLvl w:val="5"/>
    </w:pPr>
    <w:rPr>
      <w:rFonts w:ascii="宋体" w:hAnsi="宋体" w:eastAsia="宋体"/>
      <w:b/>
      <w:sz w:val="21"/>
      <w:szCs w:val="21"/>
    </w:rPr>
  </w:style>
  <w:style w:type="paragraph" w:customStyle="1" w:styleId="74">
    <w:name w:val="11 PIC"/>
    <w:basedOn w:val="1"/>
    <w:qFormat/>
    <w:uiPriority w:val="0"/>
    <w:pPr>
      <w:jc w:val="center"/>
    </w:pPr>
  </w:style>
  <w:style w:type="paragraph" w:customStyle="1" w:styleId="75">
    <w:name w:val="11 三级标题"/>
    <w:basedOn w:val="68"/>
    <w:next w:val="69"/>
    <w:qFormat/>
    <w:uiPriority w:val="0"/>
    <w:pPr>
      <w:outlineLvl w:val="2"/>
    </w:pPr>
    <w:rPr>
      <w:rFonts w:ascii="Times New Roman" w:hAnsi="Times New Roman"/>
      <w:sz w:val="24"/>
      <w:szCs w:val="24"/>
    </w:rPr>
  </w:style>
  <w:style w:type="paragraph" w:customStyle="1" w:styleId="76">
    <w:name w:val="11 三级"/>
    <w:basedOn w:val="75"/>
    <w:qFormat/>
    <w:uiPriority w:val="0"/>
  </w:style>
  <w:style w:type="paragraph" w:customStyle="1" w:styleId="77">
    <w:name w:val="111正文111122"/>
    <w:basedOn w:val="1"/>
    <w:qFormat/>
    <w:uiPriority w:val="0"/>
    <w:pPr>
      <w:adjustRightInd w:val="0"/>
      <w:spacing w:line="360" w:lineRule="auto"/>
      <w:ind w:firstLine="480" w:firstLineChars="200"/>
      <w:jc w:val="left"/>
      <w:textAlignment w:val="baseline"/>
    </w:pPr>
    <w:rPr>
      <w:rFonts w:eastAsia="宋体"/>
      <w:kern w:val="0"/>
      <w:sz w:val="24"/>
      <w:szCs w:val="24"/>
    </w:rPr>
  </w:style>
  <w:style w:type="paragraph" w:customStyle="1" w:styleId="78">
    <w:name w:val="111图注"/>
    <w:basedOn w:val="77"/>
    <w:next w:val="69"/>
    <w:qFormat/>
    <w:uiPriority w:val="0"/>
    <w:pPr>
      <w:ind w:firstLine="0" w:firstLineChars="0"/>
      <w:jc w:val="center"/>
      <w:textAlignment w:val="center"/>
      <w:outlineLvl w:val="7"/>
    </w:pPr>
    <w:rPr>
      <w:b/>
      <w:snapToGrid w:val="0"/>
    </w:rPr>
  </w:style>
  <w:style w:type="paragraph" w:customStyle="1" w:styleId="79">
    <w:name w:val="11四级"/>
    <w:basedOn w:val="76"/>
    <w:next w:val="1"/>
    <w:qFormat/>
    <w:uiPriority w:val="0"/>
    <w:pPr>
      <w:keepNext/>
      <w:keepLines/>
      <w:widowControl w:val="0"/>
      <w:adjustRightInd w:val="0"/>
      <w:snapToGrid w:val="0"/>
      <w:spacing w:before="30" w:beforeLines="30" w:after="20" w:afterLines="20" w:line="324" w:lineRule="auto"/>
      <w:outlineLvl w:val="3"/>
    </w:pPr>
    <w:rPr>
      <w:rFonts w:eastAsia="黑体"/>
      <w:b w:val="0"/>
      <w:bCs w:val="0"/>
      <w:color w:val="FF0000"/>
      <w:szCs w:val="28"/>
    </w:rPr>
  </w:style>
  <w:style w:type="paragraph" w:customStyle="1" w:styleId="80">
    <w:name w:val="海盘说明"/>
    <w:basedOn w:val="1"/>
    <w:qFormat/>
    <w:uiPriority w:val="0"/>
    <w:pPr>
      <w:adjustRightInd w:val="0"/>
      <w:spacing w:line="360" w:lineRule="exact"/>
      <w:ind w:firstLine="199" w:firstLineChars="199"/>
      <w:textAlignment w:val="baseline"/>
    </w:pPr>
    <w:rPr>
      <w:rFonts w:eastAsia="宋体"/>
      <w:b/>
      <w:kern w:val="0"/>
      <w:sz w:val="21"/>
    </w:rPr>
  </w:style>
  <w:style w:type="paragraph" w:customStyle="1" w:styleId="81">
    <w:name w:val="11111.555555zz"/>
    <w:basedOn w:val="1"/>
    <w:qFormat/>
    <w:uiPriority w:val="0"/>
    <w:pPr>
      <w:snapToGrid w:val="0"/>
      <w:spacing w:line="440" w:lineRule="exact"/>
      <w:ind w:firstLine="192" w:firstLineChars="192"/>
      <w:outlineLvl w:val="4"/>
    </w:pPr>
    <w:rPr>
      <w:rFonts w:ascii="黑体" w:hAnsi="Arial" w:eastAsia="黑体"/>
      <w:b/>
      <w:spacing w:val="12"/>
      <w:sz w:val="24"/>
      <w:szCs w:val="22"/>
    </w:rPr>
  </w:style>
  <w:style w:type="paragraph" w:customStyle="1" w:styleId="82">
    <w:name w:val="1正文1zz"/>
    <w:basedOn w:val="1"/>
    <w:qFormat/>
    <w:uiPriority w:val="0"/>
    <w:pPr>
      <w:widowControl/>
      <w:adjustRightInd w:val="0"/>
      <w:snapToGrid w:val="0"/>
      <w:spacing w:line="460" w:lineRule="exact"/>
      <w:ind w:firstLine="200" w:firstLineChars="200"/>
    </w:pPr>
    <w:rPr>
      <w:rFonts w:ascii="宋体" w:hAnsi="宋体" w:eastAsia="宋体" w:cs="宋体"/>
      <w:kern w:val="0"/>
      <w:sz w:val="22"/>
      <w:szCs w:val="22"/>
    </w:rPr>
  </w:style>
  <w:style w:type="paragraph" w:customStyle="1" w:styleId="83">
    <w:name w:val="BG4-"/>
    <w:basedOn w:val="84"/>
    <w:qFormat/>
    <w:uiPriority w:val="0"/>
  </w:style>
  <w:style w:type="paragraph" w:customStyle="1" w:styleId="84">
    <w:name w:val="BG5"/>
    <w:basedOn w:val="85"/>
    <w:qFormat/>
    <w:uiPriority w:val="0"/>
    <w:pPr>
      <w:autoSpaceDE w:val="0"/>
      <w:autoSpaceDN w:val="0"/>
      <w:spacing w:line="200" w:lineRule="exact"/>
      <w:jc w:val="center"/>
    </w:pPr>
    <w:rPr>
      <w:sz w:val="21"/>
    </w:rPr>
  </w:style>
  <w:style w:type="paragraph" w:customStyle="1" w:styleId="85">
    <w:name w:val="BZW"/>
    <w:basedOn w:val="1"/>
    <w:next w:val="1"/>
    <w:qFormat/>
    <w:uiPriority w:val="0"/>
    <w:pPr>
      <w:adjustRightInd w:val="0"/>
      <w:spacing w:line="360" w:lineRule="exact"/>
      <w:textAlignment w:val="baseline"/>
    </w:pPr>
    <w:rPr>
      <w:rFonts w:ascii="@宋体" w:eastAsia="宋体"/>
      <w:kern w:val="0"/>
      <w:sz w:val="24"/>
    </w:rPr>
  </w:style>
  <w:style w:type="paragraph" w:customStyle="1" w:styleId="86">
    <w:name w:val="BG7"/>
    <w:basedOn w:val="87"/>
    <w:qFormat/>
    <w:uiPriority w:val="0"/>
  </w:style>
  <w:style w:type="paragraph" w:customStyle="1" w:styleId="87">
    <w:name w:val="BBT"/>
    <w:basedOn w:val="88"/>
    <w:qFormat/>
    <w:uiPriority w:val="0"/>
  </w:style>
  <w:style w:type="paragraph" w:customStyle="1" w:styleId="88">
    <w:name w:val="BG5-"/>
    <w:basedOn w:val="85"/>
    <w:qFormat/>
    <w:uiPriority w:val="0"/>
    <w:pPr>
      <w:autoSpaceDE w:val="0"/>
      <w:autoSpaceDN w:val="0"/>
      <w:spacing w:line="180" w:lineRule="exact"/>
      <w:jc w:val="center"/>
    </w:pPr>
    <w:rPr>
      <w:sz w:val="18"/>
    </w:rPr>
  </w:style>
  <w:style w:type="paragraph" w:customStyle="1" w:styleId="89">
    <w:name w:val="BG6"/>
    <w:basedOn w:val="88"/>
    <w:qFormat/>
    <w:uiPriority w:val="0"/>
  </w:style>
  <w:style w:type="paragraph" w:customStyle="1" w:styleId="90">
    <w:name w:val="BG8"/>
    <w:basedOn w:val="89"/>
    <w:qFormat/>
    <w:uiPriority w:val="0"/>
  </w:style>
  <w:style w:type="paragraph" w:customStyle="1" w:styleId="91">
    <w:name w:val="BG4"/>
    <w:basedOn w:val="84"/>
    <w:qFormat/>
    <w:uiPriority w:val="0"/>
  </w:style>
  <w:style w:type="character" w:customStyle="1" w:styleId="92">
    <w:name w:val="标题 字符1"/>
    <w:link w:val="25"/>
    <w:qFormat/>
    <w:uiPriority w:val="99"/>
    <w:rPr>
      <w:rFonts w:ascii="Cambria" w:hAnsi="Cambria"/>
      <w:b/>
      <w:bCs/>
      <w:color w:val="002060"/>
      <w:kern w:val="2"/>
      <w:sz w:val="32"/>
      <w:szCs w:val="32"/>
    </w:rPr>
  </w:style>
  <w:style w:type="paragraph" w:customStyle="1" w:styleId="93">
    <w:name w:val="111正文"/>
    <w:basedOn w:val="1"/>
    <w:link w:val="94"/>
    <w:qFormat/>
    <w:uiPriority w:val="0"/>
    <w:pPr>
      <w:ind w:left="200" w:leftChars="200" w:right="200" w:rightChars="200"/>
      <w:jc w:val="left"/>
    </w:pPr>
    <w:rPr>
      <w:rFonts w:ascii="宋体" w:hAnsi="宋体" w:eastAsia="宋体"/>
      <w:sz w:val="20"/>
      <w:lang w:val="zh-CN"/>
    </w:rPr>
  </w:style>
  <w:style w:type="character" w:customStyle="1" w:styleId="94">
    <w:name w:val="111正文 Char"/>
    <w:link w:val="93"/>
    <w:qFormat/>
    <w:uiPriority w:val="0"/>
    <w:rPr>
      <w:rFonts w:ascii="宋体" w:hAnsi="宋体"/>
      <w:kern w:val="2"/>
    </w:rPr>
  </w:style>
  <w:style w:type="paragraph" w:customStyle="1" w:styleId="95">
    <w:name w:val="1111.1标题"/>
    <w:basedOn w:val="1"/>
    <w:next w:val="93"/>
    <w:link w:val="96"/>
    <w:qFormat/>
    <w:uiPriority w:val="0"/>
    <w:pPr>
      <w:ind w:left="200" w:leftChars="200" w:right="200" w:rightChars="200"/>
      <w:jc w:val="left"/>
      <w:outlineLvl w:val="1"/>
    </w:pPr>
    <w:rPr>
      <w:rFonts w:ascii="宋体" w:hAnsi="宋体" w:eastAsia="宋体"/>
      <w:bCs/>
      <w:sz w:val="20"/>
      <w:lang w:val="zh-CN"/>
    </w:rPr>
  </w:style>
  <w:style w:type="character" w:customStyle="1" w:styleId="96">
    <w:name w:val="1111.1标题 Char"/>
    <w:link w:val="95"/>
    <w:qFormat/>
    <w:uiPriority w:val="0"/>
    <w:rPr>
      <w:rFonts w:ascii="宋体" w:hAnsi="宋体"/>
      <w:bCs/>
      <w:kern w:val="2"/>
    </w:rPr>
  </w:style>
  <w:style w:type="character" w:customStyle="1" w:styleId="97">
    <w:name w:val="批注主题 字符"/>
    <w:link w:val="26"/>
    <w:qFormat/>
    <w:uiPriority w:val="99"/>
    <w:rPr>
      <w:rFonts w:eastAsia="仿宋_GB2312"/>
      <w:b/>
      <w:bCs/>
      <w:kern w:val="2"/>
      <w:sz w:val="28"/>
    </w:rPr>
  </w:style>
  <w:style w:type="paragraph" w:customStyle="1" w:styleId="98">
    <w:name w:val="11 二级"/>
    <w:basedOn w:val="3"/>
    <w:next w:val="69"/>
    <w:autoRedefine/>
    <w:qFormat/>
    <w:uiPriority w:val="0"/>
    <w:pPr>
      <w:adjustRightInd w:val="0"/>
      <w:snapToGrid w:val="0"/>
      <w:spacing w:before="239" w:beforeLines="50" w:after="239" w:afterLines="50" w:line="324" w:lineRule="auto"/>
      <w:jc w:val="left"/>
    </w:pPr>
    <w:rPr>
      <w:rFonts w:ascii="Times New Roman" w:hAnsi="Times New Roman"/>
      <w:b w:val="0"/>
      <w:color w:val="7030A0"/>
      <w:kern w:val="0"/>
      <w:sz w:val="30"/>
      <w:szCs w:val="32"/>
      <w14:shadow w14:blurRad="50800" w14:dist="38100" w14:dir="2700000" w14:sx="100000" w14:sy="100000" w14:kx="0" w14:ky="0" w14:algn="tl">
        <w14:srgbClr w14:val="000000">
          <w14:alpha w14:val="60000"/>
        </w14:srgbClr>
      </w14:shadow>
    </w:rPr>
  </w:style>
  <w:style w:type="paragraph" w:customStyle="1" w:styleId="99">
    <w:name w:val="_Style 1"/>
    <w:basedOn w:val="1"/>
    <w:qFormat/>
    <w:uiPriority w:val="34"/>
    <w:pPr>
      <w:ind w:firstLine="420" w:firstLineChars="200"/>
    </w:pPr>
    <w:rPr>
      <w:rFonts w:ascii="Calibri" w:hAnsi="Calibri" w:eastAsia="宋体"/>
      <w:sz w:val="21"/>
      <w:szCs w:val="22"/>
    </w:rPr>
  </w:style>
  <w:style w:type="paragraph" w:customStyle="1" w:styleId="100">
    <w:name w:val="TOC 标题1"/>
    <w:basedOn w:val="2"/>
    <w:next w:val="1"/>
    <w:unhideWhenUsed/>
    <w:qFormat/>
    <w:uiPriority w:val="39"/>
    <w:pPr>
      <w:widowControl/>
      <w:spacing w:before="240" w:after="0" w:line="259" w:lineRule="auto"/>
      <w:jc w:val="left"/>
      <w:outlineLvl w:val="9"/>
    </w:pPr>
    <w:rPr>
      <w:rFonts w:ascii="Calibri Light" w:hAnsi="Calibri Light" w:eastAsia="宋体"/>
      <w:b w:val="0"/>
      <w:color w:val="2E74B5"/>
      <w:kern w:val="0"/>
      <w:sz w:val="32"/>
      <w:szCs w:val="32"/>
    </w:rPr>
  </w:style>
  <w:style w:type="paragraph" w:customStyle="1" w:styleId="101">
    <w:name w:val="目录 11"/>
    <w:basedOn w:val="1"/>
    <w:next w:val="1"/>
    <w:autoRedefine/>
    <w:qFormat/>
    <w:uiPriority w:val="39"/>
    <w:pPr>
      <w:tabs>
        <w:tab w:val="right" w:leader="dot" w:pos="9751"/>
      </w:tabs>
      <w:spacing w:before="143" w:beforeLines="30" w:after="95" w:afterLines="20"/>
    </w:pPr>
    <w:rPr>
      <w:rFonts w:ascii="黑体" w:hAnsi="黑体" w:eastAsia="黑体"/>
    </w:rPr>
  </w:style>
  <w:style w:type="paragraph" w:customStyle="1" w:styleId="102">
    <w:name w:val="目录 21"/>
    <w:basedOn w:val="1"/>
    <w:next w:val="1"/>
    <w:autoRedefine/>
    <w:qFormat/>
    <w:uiPriority w:val="39"/>
    <w:pPr>
      <w:ind w:left="420" w:leftChars="200"/>
    </w:pPr>
  </w:style>
  <w:style w:type="paragraph" w:customStyle="1" w:styleId="103">
    <w:name w:val="目录 91"/>
    <w:basedOn w:val="1"/>
    <w:next w:val="1"/>
    <w:autoRedefine/>
    <w:qFormat/>
    <w:uiPriority w:val="39"/>
    <w:pPr>
      <w:ind w:left="3360" w:leftChars="1600"/>
    </w:pPr>
  </w:style>
  <w:style w:type="paragraph" w:customStyle="1" w:styleId="104">
    <w:name w:val="113级11"/>
    <w:basedOn w:val="54"/>
    <w:qFormat/>
    <w:uiPriority w:val="0"/>
    <w:pPr>
      <w:spacing w:line="560" w:lineRule="exact"/>
      <w:ind w:firstLine="241" w:firstLineChars="100"/>
      <w:jc w:val="left"/>
      <w:outlineLvl w:val="2"/>
    </w:pPr>
    <w:rPr>
      <w:rFonts w:ascii="宋体" w:hAnsi="宋体"/>
      <w:b/>
      <w:color w:val="0070C0"/>
      <w:sz w:val="24"/>
      <w:szCs w:val="24"/>
    </w:rPr>
  </w:style>
  <w:style w:type="paragraph" w:customStyle="1" w:styleId="105">
    <w:name w:val="11院内正文"/>
    <w:basedOn w:val="16"/>
    <w:qFormat/>
    <w:uiPriority w:val="0"/>
    <w:pPr>
      <w:spacing w:line="360" w:lineRule="auto"/>
      <w:ind w:firstLine="200" w:firstLineChars="200"/>
    </w:pPr>
    <w:rPr>
      <w:rFonts w:ascii="Times New Roman" w:hAnsi="Times New Roman" w:eastAsia="仿宋"/>
      <w:kern w:val="0"/>
      <w:sz w:val="24"/>
      <w:szCs w:val="21"/>
    </w:rPr>
  </w:style>
  <w:style w:type="paragraph" w:customStyle="1" w:styleId="106">
    <w:name w:val="1.1院内样式"/>
    <w:basedOn w:val="1"/>
    <w:next w:val="105"/>
    <w:qFormat/>
    <w:uiPriority w:val="0"/>
    <w:pPr>
      <w:shd w:val="clear" w:color="auto" w:fill="FFFFFF"/>
      <w:snapToGrid w:val="0"/>
      <w:spacing w:line="360" w:lineRule="auto"/>
      <w:jc w:val="left"/>
      <w:outlineLvl w:val="1"/>
    </w:pPr>
    <w:rPr>
      <w:rFonts w:eastAsia="仿宋"/>
      <w:b/>
      <w:bCs/>
      <w:kern w:val="0"/>
      <w:szCs w:val="28"/>
    </w:rPr>
  </w:style>
  <w:style w:type="paragraph" w:customStyle="1" w:styleId="107">
    <w:name w:val="11表中字"/>
    <w:basedOn w:val="1"/>
    <w:qFormat/>
    <w:uiPriority w:val="0"/>
    <w:pPr>
      <w:jc w:val="center"/>
    </w:pPr>
    <w:rPr>
      <w:rFonts w:eastAsia="宋体"/>
      <w:sz w:val="18"/>
      <w:szCs w:val="18"/>
    </w:rPr>
  </w:style>
  <w:style w:type="paragraph" w:customStyle="1" w:styleId="108">
    <w:name w:val="11 三"/>
    <w:basedOn w:val="77"/>
    <w:qFormat/>
    <w:uiPriority w:val="0"/>
    <w:pPr>
      <w:ind w:firstLine="482"/>
      <w:outlineLvl w:val="5"/>
    </w:pPr>
    <w:rPr>
      <w:b/>
    </w:rPr>
  </w:style>
  <w:style w:type="paragraph" w:customStyle="1" w:styleId="109">
    <w:name w:val="11 1.1节 11"/>
    <w:basedOn w:val="80"/>
    <w:qFormat/>
    <w:uiPriority w:val="0"/>
    <w:pPr>
      <w:spacing w:before="120" w:beforeLines="50" w:after="120" w:afterLines="50" w:line="360" w:lineRule="auto"/>
      <w:ind w:firstLine="0" w:firstLineChars="0"/>
      <w:outlineLvl w:val="1"/>
    </w:pPr>
    <w:rPr>
      <w:bCs/>
      <w:color w:val="1F4E79"/>
      <w:sz w:val="24"/>
      <w:szCs w:val="24"/>
    </w:rPr>
  </w:style>
  <w:style w:type="character" w:customStyle="1" w:styleId="110">
    <w:name w:val="列出段落 Char"/>
    <w:link w:val="54"/>
    <w:qFormat/>
    <w:uiPriority w:val="34"/>
    <w:rPr>
      <w:rFonts w:ascii="Calibri" w:hAnsi="Calibri"/>
      <w:kern w:val="2"/>
      <w:sz w:val="21"/>
      <w:szCs w:val="22"/>
    </w:rPr>
  </w:style>
  <w:style w:type="table" w:customStyle="1" w:styleId="111">
    <w:name w:val="网格型1"/>
    <w:basedOn w:val="2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12">
    <w:name w:val="标题 3 字符"/>
    <w:link w:val="5"/>
    <w:qFormat/>
    <w:uiPriority w:val="9"/>
    <w:rPr>
      <w:rFonts w:eastAsia="仿宋_GB2312"/>
      <w:b/>
      <w:kern w:val="2"/>
      <w:sz w:val="32"/>
    </w:rPr>
  </w:style>
  <w:style w:type="character" w:customStyle="1" w:styleId="113">
    <w:name w:val="标题 4 字符"/>
    <w:link w:val="6"/>
    <w:qFormat/>
    <w:uiPriority w:val="9"/>
    <w:rPr>
      <w:rFonts w:ascii="Arial" w:hAnsi="Arial" w:eastAsia="黑体"/>
      <w:b/>
      <w:kern w:val="2"/>
      <w:sz w:val="28"/>
    </w:rPr>
  </w:style>
  <w:style w:type="character" w:customStyle="1" w:styleId="114">
    <w:name w:val="标题 5 字符"/>
    <w:link w:val="7"/>
    <w:qFormat/>
    <w:uiPriority w:val="9"/>
    <w:rPr>
      <w:rFonts w:ascii="宋体"/>
      <w:b/>
      <w:bCs/>
      <w:sz w:val="28"/>
      <w:szCs w:val="28"/>
    </w:rPr>
  </w:style>
  <w:style w:type="character" w:customStyle="1" w:styleId="115">
    <w:name w:val="正文文本缩进 字符"/>
    <w:link w:val="15"/>
    <w:qFormat/>
    <w:uiPriority w:val="0"/>
    <w:rPr>
      <w:rFonts w:ascii="仿宋_GB2312" w:eastAsia="仿宋_GB2312"/>
      <w:kern w:val="2"/>
      <w:sz w:val="28"/>
    </w:rPr>
  </w:style>
  <w:style w:type="character" w:customStyle="1" w:styleId="116">
    <w:name w:val="正文文本缩进 3 字符"/>
    <w:link w:val="23"/>
    <w:qFormat/>
    <w:uiPriority w:val="0"/>
    <w:rPr>
      <w:rFonts w:ascii="宋体" w:hAnsi="宋体"/>
      <w:kern w:val="2"/>
      <w:sz w:val="24"/>
    </w:rPr>
  </w:style>
  <w:style w:type="character" w:customStyle="1" w:styleId="117">
    <w:name w:val="标题 1 字符"/>
    <w:qFormat/>
    <w:uiPriority w:val="9"/>
    <w:rPr>
      <w:rFonts w:ascii="Times New Roman" w:hAnsi="Times New Roman" w:eastAsia="黑体"/>
      <w:b/>
      <w:bCs/>
      <w:kern w:val="44"/>
      <w:sz w:val="32"/>
      <w:szCs w:val="44"/>
    </w:rPr>
  </w:style>
  <w:style w:type="character" w:customStyle="1" w:styleId="118">
    <w:name w:val="标题 2 字符"/>
    <w:qFormat/>
    <w:uiPriority w:val="9"/>
    <w:rPr>
      <w:rFonts w:ascii="Times New Roman" w:hAnsi="Times New Roman" w:eastAsia="黑体" w:cs="Times New Roman"/>
      <w:bCs/>
      <w:sz w:val="30"/>
      <w:szCs w:val="32"/>
    </w:rPr>
  </w:style>
  <w:style w:type="character" w:customStyle="1" w:styleId="119">
    <w:name w:val="标题 6 字符"/>
    <w:qFormat/>
    <w:uiPriority w:val="9"/>
    <w:rPr>
      <w:rFonts w:ascii="Times New Roman" w:hAnsi="Times New Roman" w:eastAsia="宋体" w:cs="Times New Roman"/>
      <w:b/>
      <w:bCs/>
      <w:sz w:val="24"/>
      <w:szCs w:val="24"/>
    </w:rPr>
  </w:style>
  <w:style w:type="character" w:customStyle="1" w:styleId="120">
    <w:name w:val="标题 7 字符"/>
    <w:qFormat/>
    <w:uiPriority w:val="9"/>
    <w:rPr>
      <w:rFonts w:ascii="Times New Roman" w:hAnsi="Times New Roman"/>
      <w:b/>
      <w:bCs/>
      <w:sz w:val="24"/>
      <w:szCs w:val="24"/>
    </w:rPr>
  </w:style>
  <w:style w:type="character" w:customStyle="1" w:styleId="121">
    <w:name w:val="页眉 字符"/>
    <w:qFormat/>
    <w:uiPriority w:val="0"/>
    <w:rPr>
      <w:rFonts w:ascii="Times New Roman" w:hAnsi="Times New Roman"/>
      <w:sz w:val="18"/>
      <w:szCs w:val="18"/>
    </w:rPr>
  </w:style>
  <w:style w:type="character" w:customStyle="1" w:styleId="122">
    <w:name w:val="页脚 字符"/>
    <w:qFormat/>
    <w:uiPriority w:val="99"/>
    <w:rPr>
      <w:rFonts w:ascii="Times New Roman" w:hAnsi="Times New Roman" w:eastAsia="Times New Roman"/>
      <w:szCs w:val="18"/>
    </w:rPr>
  </w:style>
  <w:style w:type="character" w:customStyle="1" w:styleId="123">
    <w:name w:val="批注框文本 字符"/>
    <w:semiHidden/>
    <w:qFormat/>
    <w:uiPriority w:val="99"/>
    <w:rPr>
      <w:rFonts w:ascii="Times New Roman" w:hAnsi="Times New Roman"/>
      <w:sz w:val="18"/>
      <w:szCs w:val="18"/>
    </w:rPr>
  </w:style>
  <w:style w:type="character" w:customStyle="1" w:styleId="124">
    <w:name w:val="标题 字符"/>
    <w:qFormat/>
    <w:uiPriority w:val="0"/>
    <w:rPr>
      <w:rFonts w:ascii="Times New Roman" w:hAnsi="Times New Roman" w:eastAsia="黑体" w:cs="Times New Roman"/>
      <w:b/>
      <w:bCs/>
      <w:sz w:val="44"/>
      <w:szCs w:val="32"/>
    </w:rPr>
  </w:style>
  <w:style w:type="character" w:customStyle="1" w:styleId="125">
    <w:name w:val="副标题 字符"/>
    <w:link w:val="22"/>
    <w:qFormat/>
    <w:uiPriority w:val="11"/>
    <w:rPr>
      <w:rFonts w:ascii="Cambria" w:hAnsi="Cambria"/>
      <w:b/>
      <w:bCs/>
      <w:kern w:val="28"/>
      <w:sz w:val="32"/>
      <w:szCs w:val="32"/>
    </w:rPr>
  </w:style>
  <w:style w:type="character" w:customStyle="1" w:styleId="126">
    <w:name w:val="列出段落 字符"/>
    <w:qFormat/>
    <w:uiPriority w:val="34"/>
    <w:rPr>
      <w:rFonts w:ascii="Times New Roman" w:hAnsi="Times New Roman"/>
      <w:sz w:val="24"/>
    </w:rPr>
  </w:style>
  <w:style w:type="paragraph" w:customStyle="1" w:styleId="127">
    <w:name w:val="图样式"/>
    <w:basedOn w:val="1"/>
    <w:qFormat/>
    <w:uiPriority w:val="0"/>
    <w:pPr>
      <w:jc w:val="center"/>
    </w:pPr>
    <w:rPr>
      <w:rFonts w:eastAsia="宋体"/>
      <w:sz w:val="21"/>
      <w:szCs w:val="22"/>
    </w:rPr>
  </w:style>
  <w:style w:type="character" w:customStyle="1" w:styleId="128">
    <w:name w:val="不明显强调1"/>
    <w:qFormat/>
    <w:uiPriority w:val="19"/>
    <w:rPr>
      <w:i/>
      <w:iCs/>
      <w:color w:val="808080"/>
    </w:rPr>
  </w:style>
  <w:style w:type="table" w:customStyle="1" w:styleId="129">
    <w:name w:val="中等深浅底纹 2 - 强调文字颜色 11"/>
    <w:basedOn w:val="27"/>
    <w:qFormat/>
    <w:uiPriority w:val="64"/>
    <w:rPr>
      <w:rFonts w:ascii="Calibri" w:hAnsi="Calibri"/>
      <w:kern w:val="2"/>
      <w:sz w:val="21"/>
      <w:szCs w:val="22"/>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4F81BD"/>
      </w:tcPr>
    </w:tblStylePr>
    <w:tblStylePr w:type="lastCol">
      <w:rPr>
        <w:b/>
        <w:bCs/>
        <w:color w:val="FFFFFF"/>
      </w:rPr>
      <w:tcPr>
        <w:tcBorders>
          <w:left w:val="nil"/>
          <w:right w:val="nil"/>
          <w:insideH w:val="nil"/>
          <w:insideV w:val="nil"/>
        </w:tcBorders>
        <w:shd w:val="clear" w:color="auto" w:fill="4F81BD"/>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30">
    <w:name w:val="浅色底纹1"/>
    <w:basedOn w:val="27"/>
    <w:qFormat/>
    <w:uiPriority w:val="60"/>
    <w:rPr>
      <w:rFonts w:ascii="Calibri" w:hAnsi="Calibri"/>
      <w:color w:val="000000"/>
      <w:kern w:val="2"/>
      <w:sz w:val="21"/>
      <w:szCs w:val="22"/>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character" w:customStyle="1" w:styleId="131">
    <w:name w:val="日期 字符"/>
    <w:qFormat/>
    <w:uiPriority w:val="99"/>
    <w:rPr>
      <w:rFonts w:ascii="宋体" w:hAnsi="Times New Roman" w:eastAsia="宋体" w:cs="Times New Roman"/>
      <w:sz w:val="24"/>
      <w:szCs w:val="20"/>
    </w:rPr>
  </w:style>
  <w:style w:type="character" w:customStyle="1" w:styleId="132">
    <w:name w:val="文档结构图 字符"/>
    <w:semiHidden/>
    <w:qFormat/>
    <w:uiPriority w:val="99"/>
    <w:rPr>
      <w:rFonts w:ascii="宋体" w:hAnsi="Times New Roman" w:eastAsia="宋体"/>
      <w:sz w:val="18"/>
      <w:szCs w:val="18"/>
    </w:rPr>
  </w:style>
  <w:style w:type="paragraph" w:customStyle="1" w:styleId="133">
    <w:name w:val="目录 31"/>
    <w:basedOn w:val="1"/>
    <w:next w:val="1"/>
    <w:autoRedefine/>
    <w:unhideWhenUsed/>
    <w:qFormat/>
    <w:uiPriority w:val="39"/>
    <w:pPr>
      <w:tabs>
        <w:tab w:val="right" w:leader="dot" w:pos="10261"/>
      </w:tabs>
      <w:spacing w:line="360" w:lineRule="exact"/>
      <w:ind w:left="960" w:leftChars="400" w:firstLine="480" w:firstLineChars="200"/>
    </w:pPr>
    <w:rPr>
      <w:rFonts w:eastAsia="宋体"/>
      <w:sz w:val="24"/>
      <w:szCs w:val="22"/>
    </w:rPr>
  </w:style>
  <w:style w:type="paragraph" w:customStyle="1" w:styleId="134">
    <w:name w:val="表格表头"/>
    <w:basedOn w:val="1"/>
    <w:qFormat/>
    <w:uiPriority w:val="99"/>
    <w:pPr>
      <w:adjustRightInd w:val="0"/>
      <w:jc w:val="center"/>
      <w:textAlignment w:val="baseline"/>
    </w:pPr>
    <w:rPr>
      <w:rFonts w:eastAsia="宋体"/>
      <w:b/>
      <w:kern w:val="0"/>
      <w:sz w:val="18"/>
    </w:rPr>
  </w:style>
  <w:style w:type="paragraph" w:customStyle="1" w:styleId="135">
    <w:name w:val="修订1"/>
    <w:hidden/>
    <w:semiHidden/>
    <w:qFormat/>
    <w:uiPriority w:val="99"/>
    <w:rPr>
      <w:rFonts w:ascii="Calibri" w:hAnsi="Calibri" w:eastAsia="宋体" w:cs="Times New Roman"/>
      <w:kern w:val="2"/>
      <w:sz w:val="24"/>
      <w:szCs w:val="22"/>
      <w:lang w:val="en-US" w:eastAsia="zh-CN" w:bidi="ar-SA"/>
    </w:rPr>
  </w:style>
  <w:style w:type="character" w:customStyle="1" w:styleId="136">
    <w:name w:val="纯文本 字符"/>
    <w:qFormat/>
    <w:uiPriority w:val="0"/>
    <w:rPr>
      <w:rFonts w:ascii="宋体" w:hAnsi="Courier New" w:eastAsia="宋体" w:cs="Times New Roman"/>
      <w:szCs w:val="20"/>
    </w:rPr>
  </w:style>
  <w:style w:type="character" w:customStyle="1" w:styleId="137">
    <w:name w:val="apple-style-span"/>
    <w:qFormat/>
    <w:uiPriority w:val="0"/>
  </w:style>
  <w:style w:type="paragraph" w:customStyle="1" w:styleId="138">
    <w:name w:val="1111表头"/>
    <w:basedOn w:val="1"/>
    <w:autoRedefine/>
    <w:qFormat/>
    <w:uiPriority w:val="0"/>
    <w:pPr>
      <w:adjustRightInd w:val="0"/>
      <w:snapToGrid w:val="0"/>
      <w:spacing w:before="240" w:line="300" w:lineRule="auto"/>
      <w:jc w:val="center"/>
      <w:outlineLvl w:val="2"/>
    </w:pPr>
    <w:rPr>
      <w:rFonts w:ascii="宋体" w:hAnsi="宋体" w:eastAsia="宋体"/>
      <w:sz w:val="21"/>
      <w:szCs w:val="21"/>
    </w:rPr>
  </w:style>
  <w:style w:type="character" w:customStyle="1" w:styleId="139">
    <w:name w:val="正文缩进 字符"/>
    <w:qFormat/>
    <w:uiPriority w:val="0"/>
    <w:rPr>
      <w:rFonts w:ascii="Times New Roman" w:hAnsi="Times New Roman" w:eastAsia="仿宋_GB2312" w:cs="Times New Roman"/>
      <w:sz w:val="28"/>
      <w:szCs w:val="20"/>
    </w:rPr>
  </w:style>
  <w:style w:type="paragraph" w:customStyle="1" w:styleId="140">
    <w:name w:val="目录 41"/>
    <w:basedOn w:val="1"/>
    <w:next w:val="1"/>
    <w:autoRedefine/>
    <w:unhideWhenUsed/>
    <w:qFormat/>
    <w:uiPriority w:val="39"/>
    <w:pPr>
      <w:ind w:left="1260" w:leftChars="600"/>
    </w:pPr>
    <w:rPr>
      <w:rFonts w:ascii="Calibri" w:hAnsi="Calibri" w:eastAsia="宋体"/>
      <w:sz w:val="21"/>
      <w:szCs w:val="22"/>
    </w:rPr>
  </w:style>
  <w:style w:type="paragraph" w:customStyle="1" w:styleId="141">
    <w:name w:val="目录 51"/>
    <w:basedOn w:val="1"/>
    <w:next w:val="1"/>
    <w:autoRedefine/>
    <w:unhideWhenUsed/>
    <w:qFormat/>
    <w:uiPriority w:val="39"/>
    <w:pPr>
      <w:ind w:left="1680" w:leftChars="800"/>
    </w:pPr>
    <w:rPr>
      <w:rFonts w:ascii="Calibri" w:hAnsi="Calibri" w:eastAsia="宋体"/>
      <w:sz w:val="21"/>
      <w:szCs w:val="22"/>
    </w:rPr>
  </w:style>
  <w:style w:type="paragraph" w:customStyle="1" w:styleId="142">
    <w:name w:val="目录 61"/>
    <w:basedOn w:val="1"/>
    <w:next w:val="1"/>
    <w:autoRedefine/>
    <w:unhideWhenUsed/>
    <w:qFormat/>
    <w:uiPriority w:val="39"/>
    <w:pPr>
      <w:ind w:left="2100" w:leftChars="1000"/>
    </w:pPr>
    <w:rPr>
      <w:rFonts w:ascii="Calibri" w:hAnsi="Calibri" w:eastAsia="宋体"/>
      <w:sz w:val="21"/>
      <w:szCs w:val="22"/>
    </w:rPr>
  </w:style>
  <w:style w:type="paragraph" w:customStyle="1" w:styleId="143">
    <w:name w:val="目录 71"/>
    <w:basedOn w:val="1"/>
    <w:next w:val="1"/>
    <w:autoRedefine/>
    <w:unhideWhenUsed/>
    <w:qFormat/>
    <w:uiPriority w:val="39"/>
    <w:pPr>
      <w:ind w:left="2520" w:leftChars="1200"/>
    </w:pPr>
    <w:rPr>
      <w:rFonts w:ascii="Calibri" w:hAnsi="Calibri" w:eastAsia="宋体"/>
      <w:sz w:val="21"/>
      <w:szCs w:val="22"/>
    </w:rPr>
  </w:style>
  <w:style w:type="paragraph" w:customStyle="1" w:styleId="144">
    <w:name w:val="目录 81"/>
    <w:basedOn w:val="1"/>
    <w:next w:val="1"/>
    <w:autoRedefine/>
    <w:unhideWhenUsed/>
    <w:qFormat/>
    <w:uiPriority w:val="39"/>
    <w:pPr>
      <w:ind w:left="2940" w:leftChars="1400"/>
    </w:pPr>
    <w:rPr>
      <w:rFonts w:ascii="Calibri" w:hAnsi="Calibri" w:eastAsia="宋体"/>
      <w:sz w:val="21"/>
      <w:szCs w:val="22"/>
    </w:rPr>
  </w:style>
  <w:style w:type="paragraph" w:customStyle="1" w:styleId="145">
    <w:name w:val="列出段落1"/>
    <w:basedOn w:val="1"/>
    <w:qFormat/>
    <w:uiPriority w:val="0"/>
    <w:pPr>
      <w:ind w:firstLine="420" w:firstLineChars="200"/>
    </w:pPr>
    <w:rPr>
      <w:rFonts w:ascii="Calibri" w:hAnsi="Calibri" w:eastAsia="宋体"/>
      <w:sz w:val="21"/>
      <w:szCs w:val="22"/>
    </w:rPr>
  </w:style>
  <w:style w:type="paragraph" w:customStyle="1" w:styleId="146">
    <w:name w:val="Char Char2"/>
    <w:basedOn w:val="1"/>
    <w:autoRedefine/>
    <w:qFormat/>
    <w:uiPriority w:val="0"/>
    <w:pPr>
      <w:widowControl/>
      <w:spacing w:after="160" w:line="240" w:lineRule="exact"/>
      <w:jc w:val="left"/>
    </w:pPr>
    <w:rPr>
      <w:rFonts w:ascii="Verdana" w:hAnsi="Verdana"/>
      <w:kern w:val="0"/>
      <w:sz w:val="24"/>
      <w:lang w:eastAsia="en-US"/>
    </w:rPr>
  </w:style>
  <w:style w:type="paragraph" w:customStyle="1" w:styleId="147">
    <w:name w:val="111表中字"/>
    <w:basedOn w:val="1"/>
    <w:qFormat/>
    <w:uiPriority w:val="0"/>
    <w:pPr>
      <w:widowControl/>
      <w:jc w:val="center"/>
    </w:pPr>
    <w:rPr>
      <w:rFonts w:ascii="宋体" w:hAnsi="宋体" w:eastAsia="宋体" w:cs="宋体"/>
      <w:kern w:val="0"/>
      <w:sz w:val="20"/>
    </w:rPr>
  </w:style>
  <w:style w:type="paragraph" w:customStyle="1" w:styleId="148">
    <w:name w:val="表头样式"/>
    <w:basedOn w:val="1"/>
    <w:autoRedefine/>
    <w:qFormat/>
    <w:uiPriority w:val="0"/>
    <w:pPr>
      <w:snapToGrid w:val="0"/>
      <w:jc w:val="center"/>
    </w:pPr>
    <w:rPr>
      <w:rFonts w:ascii="宋体" w:hAnsi="宋体" w:eastAsia="宋体"/>
      <w:b/>
      <w:color w:val="000000"/>
      <w:sz w:val="21"/>
      <w:szCs w:val="21"/>
    </w:rPr>
  </w:style>
  <w:style w:type="paragraph" w:customStyle="1" w:styleId="149">
    <w:name w:val="表中字"/>
    <w:basedOn w:val="1"/>
    <w:autoRedefine/>
    <w:qFormat/>
    <w:uiPriority w:val="0"/>
    <w:pPr>
      <w:widowControl/>
      <w:jc w:val="center"/>
    </w:pPr>
    <w:rPr>
      <w:rFonts w:eastAsia="宋体"/>
      <w:color w:val="000000"/>
      <w:kern w:val="0"/>
      <w:sz w:val="21"/>
      <w:szCs w:val="18"/>
    </w:rPr>
  </w:style>
  <w:style w:type="paragraph" w:customStyle="1" w:styleId="150">
    <w:name w:val="页眉居中"/>
    <w:basedOn w:val="21"/>
    <w:link w:val="151"/>
    <w:autoRedefine/>
    <w:qFormat/>
    <w:uiPriority w:val="0"/>
    <w:pPr>
      <w:widowControl/>
      <w:spacing w:line="360" w:lineRule="auto"/>
      <w:jc w:val="both"/>
    </w:pPr>
    <w:rPr>
      <w:rFonts w:ascii="宋体" w:hAnsi="Calibri" w:eastAsia="宋体"/>
      <w:b/>
      <w:color w:val="403152"/>
      <w:kern w:val="0"/>
      <w:sz w:val="20"/>
      <w:szCs w:val="18"/>
      <w:lang w:val="en-US"/>
    </w:rPr>
  </w:style>
  <w:style w:type="character" w:customStyle="1" w:styleId="151">
    <w:name w:val="页眉居中 Char"/>
    <w:link w:val="150"/>
    <w:qFormat/>
    <w:uiPriority w:val="0"/>
    <w:rPr>
      <w:rFonts w:ascii="宋体" w:hAnsi="Calibri"/>
      <w:b/>
      <w:color w:val="403152"/>
      <w:szCs w:val="18"/>
    </w:rPr>
  </w:style>
  <w:style w:type="paragraph" w:customStyle="1" w:styleId="152">
    <w:name w:val="页脚居中"/>
    <w:basedOn w:val="20"/>
    <w:link w:val="153"/>
    <w:autoRedefine/>
    <w:qFormat/>
    <w:uiPriority w:val="0"/>
    <w:pPr>
      <w:widowControl/>
      <w:pBdr>
        <w:top w:val="thickThinSmallGap" w:color="auto" w:sz="24" w:space="1"/>
      </w:pBdr>
      <w:spacing w:line="360" w:lineRule="auto"/>
      <w:jc w:val="right"/>
    </w:pPr>
    <w:rPr>
      <w:rFonts w:ascii="Calibri" w:hAnsi="Calibri" w:eastAsia="宋体"/>
      <w:b/>
      <w:color w:val="403152"/>
      <w:kern w:val="0"/>
      <w:sz w:val="20"/>
      <w:szCs w:val="18"/>
      <w:lang w:val="en-US"/>
    </w:rPr>
  </w:style>
  <w:style w:type="character" w:customStyle="1" w:styleId="153">
    <w:name w:val="页脚居中 Char"/>
    <w:link w:val="152"/>
    <w:qFormat/>
    <w:uiPriority w:val="0"/>
    <w:rPr>
      <w:rFonts w:ascii="Calibri" w:hAnsi="Calibri"/>
      <w:b/>
      <w:color w:val="403152"/>
      <w:szCs w:val="18"/>
    </w:rPr>
  </w:style>
  <w:style w:type="paragraph" w:customStyle="1" w:styleId="154">
    <w:name w:val="1.1.1.1zz"/>
    <w:basedOn w:val="1"/>
    <w:qFormat/>
    <w:uiPriority w:val="0"/>
    <w:pPr>
      <w:snapToGrid w:val="0"/>
      <w:spacing w:beforeLines="50" w:afterLines="50" w:line="360" w:lineRule="auto"/>
      <w:ind w:firstLine="200" w:firstLineChars="200"/>
      <w:outlineLvl w:val="3"/>
    </w:pPr>
    <w:rPr>
      <w:rFonts w:ascii="黑体" w:hAnsi="Arial" w:eastAsia="黑体"/>
      <w:b/>
      <w:spacing w:val="12"/>
      <w:sz w:val="24"/>
    </w:rPr>
  </w:style>
  <w:style w:type="paragraph" w:customStyle="1" w:styleId="155">
    <w:name w:val="1章"/>
    <w:basedOn w:val="1"/>
    <w:next w:val="93"/>
    <w:qFormat/>
    <w:uiPriority w:val="0"/>
    <w:pPr>
      <w:spacing w:line="360" w:lineRule="auto"/>
      <w:ind w:left="200" w:leftChars="200" w:right="200" w:rightChars="200"/>
      <w:jc w:val="left"/>
      <w:outlineLvl w:val="0"/>
    </w:pPr>
    <w:rPr>
      <w:rFonts w:ascii="宋体" w:hAnsi="宋体" w:eastAsia="宋体"/>
      <w:b/>
      <w:sz w:val="24"/>
      <w:szCs w:val="24"/>
    </w:rPr>
  </w:style>
  <w:style w:type="paragraph" w:customStyle="1" w:styleId="156">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57">
    <w:name w:val="xl63"/>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58">
    <w:name w:val="xl64"/>
    <w:basedOn w:val="1"/>
    <w:qFormat/>
    <w:uiPriority w:val="0"/>
    <w:pPr>
      <w:widowControl/>
      <w:shd w:val="clear" w:color="000000" w:fill="FFFF00"/>
      <w:spacing w:before="100" w:beforeAutospacing="1" w:after="100" w:afterAutospacing="1"/>
      <w:jc w:val="center"/>
    </w:pPr>
    <w:rPr>
      <w:rFonts w:ascii="宋体" w:hAnsi="宋体" w:eastAsia="宋体" w:cs="宋体"/>
      <w:kern w:val="0"/>
      <w:sz w:val="24"/>
      <w:szCs w:val="24"/>
    </w:rPr>
  </w:style>
  <w:style w:type="paragraph" w:customStyle="1" w:styleId="159">
    <w:name w:val="xl65"/>
    <w:basedOn w:val="1"/>
    <w:qFormat/>
    <w:uiPriority w:val="0"/>
    <w:pPr>
      <w:widowControl/>
      <w:spacing w:before="100" w:beforeAutospacing="1" w:after="100" w:afterAutospacing="1"/>
      <w:jc w:val="center"/>
    </w:pPr>
    <w:rPr>
      <w:rFonts w:ascii="宋体" w:hAnsi="宋体" w:eastAsia="宋体" w:cs="宋体"/>
      <w:color w:val="0000CC"/>
      <w:kern w:val="0"/>
      <w:sz w:val="24"/>
      <w:szCs w:val="24"/>
    </w:rPr>
  </w:style>
  <w:style w:type="paragraph" w:customStyle="1" w:styleId="160">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161">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162">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163">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eastAsia="宋体" w:cs="宋体"/>
      <w:kern w:val="0"/>
      <w:sz w:val="24"/>
      <w:szCs w:val="24"/>
    </w:rPr>
  </w:style>
  <w:style w:type="paragraph" w:customStyle="1" w:styleId="164">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eastAsia="宋体" w:cs="宋体"/>
      <w:kern w:val="0"/>
      <w:sz w:val="24"/>
      <w:szCs w:val="24"/>
    </w:rPr>
  </w:style>
  <w:style w:type="paragraph" w:customStyle="1" w:styleId="165">
    <w:name w:val="xl71"/>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宋体" w:hAnsi="宋体" w:eastAsia="宋体" w:cs="宋体"/>
      <w:kern w:val="0"/>
      <w:sz w:val="24"/>
      <w:szCs w:val="24"/>
    </w:rPr>
  </w:style>
  <w:style w:type="paragraph" w:customStyle="1" w:styleId="166">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CC"/>
      <w:kern w:val="0"/>
      <w:sz w:val="24"/>
      <w:szCs w:val="24"/>
    </w:rPr>
  </w:style>
  <w:style w:type="paragraph" w:customStyle="1" w:styleId="16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CC"/>
      <w:kern w:val="0"/>
      <w:sz w:val="24"/>
      <w:szCs w:val="24"/>
    </w:rPr>
  </w:style>
  <w:style w:type="paragraph" w:customStyle="1" w:styleId="168">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CC"/>
      <w:kern w:val="0"/>
      <w:sz w:val="24"/>
      <w:szCs w:val="24"/>
    </w:rPr>
  </w:style>
  <w:style w:type="paragraph" w:customStyle="1" w:styleId="169">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170">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CC"/>
      <w:kern w:val="0"/>
      <w:sz w:val="24"/>
      <w:szCs w:val="24"/>
    </w:rPr>
  </w:style>
  <w:style w:type="paragraph" w:customStyle="1" w:styleId="171">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172">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173">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eastAsia="宋体" w:cs="宋体"/>
      <w:kern w:val="0"/>
      <w:sz w:val="24"/>
      <w:szCs w:val="24"/>
    </w:rPr>
  </w:style>
  <w:style w:type="paragraph" w:customStyle="1" w:styleId="174">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CC"/>
      <w:kern w:val="0"/>
      <w:sz w:val="24"/>
      <w:szCs w:val="24"/>
    </w:rPr>
  </w:style>
  <w:style w:type="character" w:customStyle="1" w:styleId="175">
    <w:name w:val="正文文本缩进 字符1"/>
    <w:semiHidden/>
    <w:qFormat/>
    <w:uiPriority w:val="99"/>
    <w:rPr>
      <w:rFonts w:ascii="Times New Roman" w:hAnsi="Times New Roman"/>
      <w:sz w:val="24"/>
    </w:rPr>
  </w:style>
  <w:style w:type="character" w:customStyle="1" w:styleId="176">
    <w:name w:val="正文文本缩进 Char1"/>
    <w:semiHidden/>
    <w:qFormat/>
    <w:uiPriority w:val="99"/>
    <w:rPr>
      <w:rFonts w:ascii="Times New Roman" w:hAnsi="Times New Roman"/>
      <w:sz w:val="24"/>
    </w:rPr>
  </w:style>
  <w:style w:type="character" w:customStyle="1" w:styleId="177">
    <w:name w:val="批注文字 字符"/>
    <w:qFormat/>
    <w:uiPriority w:val="99"/>
    <w:rPr>
      <w:rFonts w:ascii="Calibri" w:hAnsi="Calibri" w:eastAsia="宋体" w:cs="Times New Roman"/>
    </w:rPr>
  </w:style>
  <w:style w:type="paragraph" w:customStyle="1" w:styleId="178">
    <w:name w:val="p0"/>
    <w:basedOn w:val="1"/>
    <w:qFormat/>
    <w:uiPriority w:val="0"/>
    <w:pPr>
      <w:widowControl/>
    </w:pPr>
    <w:rPr>
      <w:rFonts w:ascii="Calibri" w:hAnsi="Calibri" w:eastAsia="宋体" w:cs="Calibri"/>
      <w:kern w:val="0"/>
      <w:sz w:val="21"/>
      <w:szCs w:val="21"/>
    </w:rPr>
  </w:style>
  <w:style w:type="paragraph" w:customStyle="1" w:styleId="179">
    <w:name w:val="样式3"/>
    <w:basedOn w:val="1"/>
    <w:qFormat/>
    <w:uiPriority w:val="0"/>
    <w:pPr>
      <w:spacing w:line="360" w:lineRule="auto"/>
      <w:jc w:val="center"/>
    </w:pPr>
    <w:rPr>
      <w:rFonts w:eastAsia="黑体"/>
      <w:b/>
      <w:sz w:val="21"/>
    </w:rPr>
  </w:style>
  <w:style w:type="paragraph" w:customStyle="1" w:styleId="180">
    <w:name w:val="表中字11zzz"/>
    <w:basedOn w:val="1"/>
    <w:qFormat/>
    <w:uiPriority w:val="0"/>
    <w:pPr>
      <w:widowControl/>
      <w:jc w:val="center"/>
    </w:pPr>
    <w:rPr>
      <w:rFonts w:eastAsia="宋体" w:cs="宋体"/>
      <w:kern w:val="0"/>
      <w:sz w:val="20"/>
    </w:rPr>
  </w:style>
  <w:style w:type="paragraph" w:customStyle="1" w:styleId="181">
    <w:name w:val="1111 正文"/>
    <w:basedOn w:val="24"/>
    <w:qFormat/>
    <w:uiPriority w:val="0"/>
    <w:pPr>
      <w:spacing w:beforeLines="50" w:beforeAutospacing="0" w:after="0" w:afterAutospacing="0" w:line="360" w:lineRule="auto"/>
      <w:ind w:firstLine="200" w:firstLineChars="200"/>
    </w:pPr>
    <w:rPr>
      <w:rFonts w:ascii="仿宋_GB2312" w:cs="Times New Roman"/>
      <w:kern w:val="2"/>
      <w:szCs w:val="20"/>
    </w:rPr>
  </w:style>
  <w:style w:type="paragraph" w:customStyle="1" w:styleId="182">
    <w:name w:val="正文-杨锋"/>
    <w:basedOn w:val="1"/>
    <w:link w:val="183"/>
    <w:qFormat/>
    <w:uiPriority w:val="0"/>
    <w:pPr>
      <w:adjustRightInd w:val="0"/>
      <w:snapToGrid w:val="0"/>
      <w:spacing w:line="500" w:lineRule="exact"/>
      <w:ind w:firstLine="200" w:firstLineChars="200"/>
    </w:pPr>
    <w:rPr>
      <w:rFonts w:ascii="宋体" w:hAnsi="宋体" w:eastAsia="宋体"/>
      <w:color w:val="000000"/>
      <w:sz w:val="24"/>
    </w:rPr>
  </w:style>
  <w:style w:type="character" w:customStyle="1" w:styleId="183">
    <w:name w:val="正文-杨锋 Char"/>
    <w:link w:val="182"/>
    <w:qFormat/>
    <w:uiPriority w:val="0"/>
    <w:rPr>
      <w:rFonts w:ascii="宋体" w:hAnsi="宋体"/>
      <w:color w:val="000000"/>
      <w:kern w:val="2"/>
      <w:sz w:val="24"/>
    </w:rPr>
  </w:style>
  <w:style w:type="paragraph" w:customStyle="1" w:styleId="184">
    <w:name w:val="11三级"/>
    <w:basedOn w:val="1"/>
    <w:autoRedefine/>
    <w:qFormat/>
    <w:uiPriority w:val="0"/>
    <w:pPr>
      <w:spacing w:line="360" w:lineRule="auto"/>
      <w:jc w:val="left"/>
    </w:pPr>
    <w:rPr>
      <w:rFonts w:eastAsia="宋体"/>
      <w:b/>
      <w:bCs/>
      <w:color w:val="365F91"/>
      <w:kern w:val="0"/>
      <w:sz w:val="24"/>
      <w:szCs w:val="24"/>
    </w:rPr>
  </w:style>
  <w:style w:type="table" w:customStyle="1" w:styleId="185">
    <w:name w:val="Table Normal"/>
    <w:semiHidden/>
    <w:unhideWhenUsed/>
    <w:qFormat/>
    <w:uiPriority w:val="2"/>
    <w:pPr>
      <w:widowControl w:val="0"/>
      <w:autoSpaceDE w:val="0"/>
      <w:autoSpaceDN w:val="0"/>
    </w:pPr>
    <w:rPr>
      <w:rFonts w:ascii="Calibri" w:hAnsi="Calibri"/>
      <w:sz w:val="22"/>
      <w:lang w:eastAsia="en-US"/>
    </w:rPr>
    <w:tblPr>
      <w:tblCellMar>
        <w:top w:w="0" w:type="dxa"/>
        <w:left w:w="0" w:type="dxa"/>
        <w:bottom w:w="0" w:type="dxa"/>
        <w:right w:w="0" w:type="dxa"/>
      </w:tblCellMar>
    </w:tblPr>
  </w:style>
  <w:style w:type="paragraph" w:customStyle="1" w:styleId="186">
    <w:name w:val="Table Paragraph"/>
    <w:basedOn w:val="1"/>
    <w:qFormat/>
    <w:uiPriority w:val="0"/>
    <w:pPr>
      <w:autoSpaceDE w:val="0"/>
      <w:autoSpaceDN w:val="0"/>
      <w:jc w:val="left"/>
    </w:pPr>
    <w:rPr>
      <w:rFonts w:ascii="宋体" w:hAnsi="宋体" w:eastAsia="宋体" w:cs="宋体"/>
      <w:kern w:val="0"/>
      <w:sz w:val="22"/>
      <w:szCs w:val="22"/>
      <w:lang w:val="zh-CN" w:bidi="zh-CN"/>
    </w:rPr>
  </w:style>
  <w:style w:type="paragraph" w:customStyle="1" w:styleId="187">
    <w:name w:val="段"/>
    <w:link w:val="19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88">
    <w:name w:val="字母编号列项（一级）"/>
    <w:qFormat/>
    <w:uiPriority w:val="0"/>
    <w:pPr>
      <w:numPr>
        <w:ilvl w:val="0"/>
        <w:numId w:val="1"/>
      </w:numPr>
      <w:jc w:val="both"/>
    </w:pPr>
    <w:rPr>
      <w:rFonts w:ascii="宋体" w:hAnsi="Times New Roman" w:eastAsia="宋体" w:cs="Times New Roman"/>
      <w:sz w:val="21"/>
      <w:lang w:val="en-US" w:eastAsia="zh-CN" w:bidi="ar-SA"/>
    </w:rPr>
  </w:style>
  <w:style w:type="paragraph" w:customStyle="1" w:styleId="189">
    <w:name w:val="注×：（正文）"/>
    <w:qFormat/>
    <w:uiPriority w:val="0"/>
    <w:pPr>
      <w:numPr>
        <w:ilvl w:val="0"/>
        <w:numId w:val="2"/>
      </w:numPr>
      <w:jc w:val="both"/>
    </w:pPr>
    <w:rPr>
      <w:rFonts w:ascii="宋体" w:hAnsi="Times New Roman" w:eastAsia="宋体" w:cs="Times New Roman"/>
      <w:sz w:val="18"/>
      <w:szCs w:val="18"/>
      <w:lang w:val="en-US" w:eastAsia="zh-CN" w:bidi="ar-SA"/>
    </w:rPr>
  </w:style>
  <w:style w:type="paragraph" w:customStyle="1" w:styleId="190">
    <w:name w:val="正文表标题"/>
    <w:next w:val="187"/>
    <w:qFormat/>
    <w:uiPriority w:val="0"/>
    <w:pPr>
      <w:numPr>
        <w:ilvl w:val="0"/>
        <w:numId w:val="3"/>
      </w:numPr>
      <w:spacing w:beforeLines="50" w:afterLines="50"/>
      <w:jc w:val="center"/>
    </w:pPr>
    <w:rPr>
      <w:rFonts w:ascii="黑体" w:hAnsi="Times New Roman" w:eastAsia="黑体" w:cs="Times New Roman"/>
      <w:sz w:val="21"/>
      <w:lang w:val="en-US" w:eastAsia="zh-CN" w:bidi="ar-SA"/>
    </w:rPr>
  </w:style>
  <w:style w:type="character" w:customStyle="1" w:styleId="191">
    <w:name w:val="段 Char"/>
    <w:link w:val="187"/>
    <w:qFormat/>
    <w:uiPriority w:val="0"/>
    <w:rPr>
      <w:rFonts w:ascii="宋体"/>
      <w:sz w:val="21"/>
    </w:rPr>
  </w:style>
  <w:style w:type="paragraph" w:customStyle="1" w:styleId="192">
    <w:name w:val="一级条标题"/>
    <w:next w:val="187"/>
    <w:qFormat/>
    <w:uiPriority w:val="0"/>
    <w:pPr>
      <w:numPr>
        <w:ilvl w:val="1"/>
        <w:numId w:val="4"/>
      </w:numPr>
      <w:spacing w:beforeLines="50" w:afterLines="50"/>
      <w:outlineLvl w:val="2"/>
    </w:pPr>
    <w:rPr>
      <w:rFonts w:ascii="黑体" w:hAnsi="Times New Roman" w:eastAsia="黑体" w:cs="Times New Roman"/>
      <w:sz w:val="21"/>
      <w:szCs w:val="21"/>
      <w:lang w:val="en-US" w:eastAsia="zh-CN" w:bidi="ar-SA"/>
    </w:rPr>
  </w:style>
  <w:style w:type="paragraph" w:customStyle="1" w:styleId="193">
    <w:name w:val="章标题"/>
    <w:next w:val="187"/>
    <w:qFormat/>
    <w:uiPriority w:val="0"/>
    <w:pPr>
      <w:numPr>
        <w:ilvl w:val="0"/>
        <w:numId w:val="4"/>
      </w:numPr>
      <w:spacing w:beforeLines="100" w:afterLines="100"/>
      <w:jc w:val="both"/>
      <w:outlineLvl w:val="1"/>
    </w:pPr>
    <w:rPr>
      <w:rFonts w:ascii="黑体" w:hAnsi="Times New Roman" w:eastAsia="黑体" w:cs="Times New Roman"/>
      <w:sz w:val="21"/>
      <w:lang w:val="en-US" w:eastAsia="zh-CN" w:bidi="ar-SA"/>
    </w:rPr>
  </w:style>
  <w:style w:type="paragraph" w:customStyle="1" w:styleId="194">
    <w:name w:val="二级条标题"/>
    <w:basedOn w:val="192"/>
    <w:next w:val="187"/>
    <w:qFormat/>
    <w:uiPriority w:val="0"/>
    <w:pPr>
      <w:numPr>
        <w:ilvl w:val="2"/>
      </w:numPr>
      <w:spacing w:before="50" w:after="50"/>
      <w:outlineLvl w:val="3"/>
    </w:pPr>
  </w:style>
  <w:style w:type="paragraph" w:customStyle="1" w:styleId="195">
    <w:name w:val="三级条标题"/>
    <w:basedOn w:val="194"/>
    <w:next w:val="187"/>
    <w:qFormat/>
    <w:uiPriority w:val="0"/>
    <w:pPr>
      <w:numPr>
        <w:ilvl w:val="3"/>
      </w:numPr>
      <w:outlineLvl w:val="4"/>
    </w:pPr>
  </w:style>
  <w:style w:type="paragraph" w:customStyle="1" w:styleId="196">
    <w:name w:val="四级条标题"/>
    <w:basedOn w:val="195"/>
    <w:next w:val="187"/>
    <w:qFormat/>
    <w:uiPriority w:val="0"/>
    <w:pPr>
      <w:numPr>
        <w:ilvl w:val="4"/>
      </w:numPr>
      <w:outlineLvl w:val="5"/>
    </w:pPr>
  </w:style>
  <w:style w:type="paragraph" w:customStyle="1" w:styleId="197">
    <w:name w:val="五级条标题"/>
    <w:basedOn w:val="196"/>
    <w:next w:val="187"/>
    <w:qFormat/>
    <w:uiPriority w:val="0"/>
    <w:pPr>
      <w:numPr>
        <w:ilvl w:val="5"/>
      </w:numPr>
      <w:outlineLvl w:val="6"/>
    </w:pPr>
  </w:style>
  <w:style w:type="paragraph" w:customStyle="1" w:styleId="198">
    <w:name w:val="数字编号列项（二级）"/>
    <w:qFormat/>
    <w:uiPriority w:val="0"/>
    <w:pPr>
      <w:tabs>
        <w:tab w:val="left" w:pos="1259"/>
      </w:tabs>
      <w:ind w:left="1259" w:hanging="420"/>
      <w:jc w:val="both"/>
    </w:pPr>
    <w:rPr>
      <w:rFonts w:ascii="宋体" w:hAnsi="Times New Roman" w:eastAsia="宋体" w:cs="Times New Roman"/>
      <w:sz w:val="21"/>
      <w:lang w:val="en-US" w:eastAsia="zh-CN" w:bidi="ar-SA"/>
    </w:rPr>
  </w:style>
  <w:style w:type="paragraph" w:customStyle="1" w:styleId="199">
    <w:name w:val="编号列项（三级）"/>
    <w:qFormat/>
    <w:uiPriority w:val="0"/>
    <w:pPr>
      <w:tabs>
        <w:tab w:val="left" w:pos="0"/>
      </w:tabs>
      <w:ind w:left="1678" w:hanging="419"/>
    </w:pPr>
    <w:rPr>
      <w:rFonts w:ascii="宋体" w:hAnsi="Times New Roman" w:eastAsia="宋体" w:cs="Times New Roman"/>
      <w:sz w:val="21"/>
      <w:lang w:val="en-US" w:eastAsia="zh-CN" w:bidi="ar-SA"/>
    </w:rPr>
  </w:style>
  <w:style w:type="paragraph" w:customStyle="1" w:styleId="200">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1">
    <w:name w:val="表格"/>
    <w:basedOn w:val="1"/>
    <w:link w:val="202"/>
    <w:qFormat/>
    <w:uiPriority w:val="0"/>
    <w:pPr>
      <w:widowControl/>
      <w:adjustRightInd w:val="0"/>
      <w:snapToGrid w:val="0"/>
      <w:jc w:val="center"/>
    </w:pPr>
    <w:rPr>
      <w:rFonts w:eastAsia="宋体" w:cs="宋体"/>
      <w:color w:val="000000"/>
      <w:kern w:val="0"/>
      <w:sz w:val="21"/>
      <w:szCs w:val="21"/>
    </w:rPr>
  </w:style>
  <w:style w:type="character" w:customStyle="1" w:styleId="202">
    <w:name w:val="表格 字符"/>
    <w:link w:val="201"/>
    <w:qFormat/>
    <w:uiPriority w:val="0"/>
    <w:rPr>
      <w:rFonts w:cs="宋体"/>
      <w:color w:val="000000"/>
      <w:sz w:val="21"/>
      <w:szCs w:val="21"/>
    </w:rPr>
  </w:style>
  <w:style w:type="paragraph" w:customStyle="1" w:styleId="203">
    <w:name w:val="标题2"/>
    <w:basedOn w:val="25"/>
    <w:autoRedefine/>
    <w:qFormat/>
    <w:uiPriority w:val="0"/>
    <w:pPr>
      <w:spacing w:beforeLines="0" w:afterLines="0"/>
      <w:jc w:val="left"/>
      <w:outlineLvl w:val="1"/>
    </w:pPr>
    <w:rPr>
      <w:rFonts w:ascii="Times New Roman" w:hAnsi="Times New Roman" w:eastAsia="仿宋" w:cs="Arial"/>
      <w:color w:val="auto"/>
      <w:sz w:val="28"/>
      <w:szCs w:val="30"/>
    </w:rPr>
  </w:style>
  <w:style w:type="paragraph" w:customStyle="1" w:styleId="204">
    <w:name w:val="标题3."/>
    <w:basedOn w:val="1"/>
    <w:autoRedefine/>
    <w:qFormat/>
    <w:uiPriority w:val="0"/>
    <w:pPr>
      <w:tabs>
        <w:tab w:val="left" w:pos="360"/>
      </w:tabs>
      <w:spacing w:before="143"/>
      <w:jc w:val="left"/>
      <w:outlineLvl w:val="2"/>
    </w:pPr>
    <w:rPr>
      <w:rFonts w:eastAsia="仿宋"/>
      <w:b/>
      <w:sz w:val="24"/>
      <w:szCs w:val="22"/>
    </w:rPr>
  </w:style>
  <w:style w:type="paragraph" w:customStyle="1" w:styleId="205">
    <w:name w:val="1105图标注"/>
    <w:basedOn w:val="1"/>
    <w:qFormat/>
    <w:uiPriority w:val="0"/>
    <w:pPr>
      <w:jc w:val="center"/>
    </w:pPr>
    <w:rPr>
      <w:rFonts w:ascii="仿宋" w:hAnsi="仿宋" w:eastAsia="仿宋" w:cs="宋体"/>
      <w:b/>
      <w:bCs/>
      <w:color w:val="000000"/>
      <w:kern w:val="0"/>
      <w:sz w:val="24"/>
    </w:rPr>
  </w:style>
  <w:style w:type="paragraph" w:customStyle="1" w:styleId="206">
    <w:name w:val="一级标题"/>
    <w:link w:val="214"/>
    <w:autoRedefine/>
    <w:qFormat/>
    <w:uiPriority w:val="0"/>
    <w:pPr>
      <w:numPr>
        <w:ilvl w:val="0"/>
        <w:numId w:val="5"/>
      </w:numPr>
      <w:spacing w:before="120" w:beforeLines="50" w:after="120" w:afterLines="50" w:line="360" w:lineRule="auto"/>
      <w:jc w:val="both"/>
      <w:outlineLvl w:val="0"/>
    </w:pPr>
    <w:rPr>
      <w:rFonts w:ascii="仿宋" w:hAnsi="仿宋" w:eastAsia="仿宋" w:cs="Times New Roman"/>
      <w:b/>
      <w:sz w:val="28"/>
      <w:szCs w:val="24"/>
      <w:lang w:val="en-US" w:eastAsia="zh-CN" w:bidi="ar-SA"/>
    </w:rPr>
  </w:style>
  <w:style w:type="paragraph" w:customStyle="1" w:styleId="207">
    <w:name w:val="二级标题"/>
    <w:link w:val="209"/>
    <w:autoRedefine/>
    <w:qFormat/>
    <w:uiPriority w:val="0"/>
    <w:pPr>
      <w:numPr>
        <w:ilvl w:val="1"/>
        <w:numId w:val="6"/>
      </w:numPr>
      <w:spacing w:before="120" w:beforeLines="50" w:after="120" w:afterLines="50" w:line="360" w:lineRule="auto"/>
      <w:outlineLvl w:val="1"/>
    </w:pPr>
    <w:rPr>
      <w:rFonts w:ascii="仿宋" w:hAnsi="仿宋" w:eastAsia="仿宋" w:cs="Times New Roman"/>
      <w:b/>
      <w:sz w:val="24"/>
      <w:szCs w:val="24"/>
      <w:lang w:val="en-US" w:eastAsia="zh-CN" w:bidi="ar-SA"/>
    </w:rPr>
  </w:style>
  <w:style w:type="paragraph" w:customStyle="1" w:styleId="208">
    <w:name w:val="三级标题"/>
    <w:link w:val="215"/>
    <w:autoRedefine/>
    <w:qFormat/>
    <w:uiPriority w:val="0"/>
    <w:pPr>
      <w:numPr>
        <w:ilvl w:val="2"/>
        <w:numId w:val="7"/>
      </w:numPr>
      <w:spacing w:before="120" w:beforeLines="50" w:after="120" w:afterLines="50" w:line="360" w:lineRule="auto"/>
      <w:outlineLvl w:val="2"/>
    </w:pPr>
    <w:rPr>
      <w:rFonts w:ascii="仿宋" w:hAnsi="仿宋" w:eastAsia="仿宋" w:cs="Times New Roman"/>
      <w:b/>
      <w:sz w:val="24"/>
      <w:szCs w:val="24"/>
      <w:lang w:val="en-US" w:eastAsia="zh-CN" w:bidi="ar-SA"/>
    </w:rPr>
  </w:style>
  <w:style w:type="character" w:customStyle="1" w:styleId="209">
    <w:name w:val="二级标题 字符"/>
    <w:link w:val="207"/>
    <w:qFormat/>
    <w:uiPriority w:val="0"/>
    <w:rPr>
      <w:rFonts w:ascii="仿宋" w:hAnsi="仿宋" w:eastAsia="仿宋"/>
      <w:b/>
      <w:sz w:val="24"/>
      <w:szCs w:val="24"/>
    </w:rPr>
  </w:style>
  <w:style w:type="paragraph" w:customStyle="1" w:styleId="210">
    <w:name w:val="正文样式"/>
    <w:autoRedefine/>
    <w:qFormat/>
    <w:uiPriority w:val="0"/>
    <w:pPr>
      <w:widowControl w:val="0"/>
      <w:spacing w:line="360" w:lineRule="auto"/>
      <w:ind w:firstLine="200" w:firstLineChars="200"/>
    </w:pPr>
    <w:rPr>
      <w:rFonts w:ascii="仿宋" w:hAnsi="仿宋" w:eastAsia="仿宋" w:cs="Times New Roman"/>
      <w:sz w:val="24"/>
      <w:szCs w:val="24"/>
      <w:lang w:val="en-US" w:eastAsia="zh-CN" w:bidi="ar-SA"/>
    </w:rPr>
  </w:style>
  <w:style w:type="paragraph" w:customStyle="1" w:styleId="211">
    <w:name w:val="表格中文字"/>
    <w:basedOn w:val="1"/>
    <w:link w:val="213"/>
    <w:autoRedefine/>
    <w:qFormat/>
    <w:uiPriority w:val="0"/>
    <w:pPr>
      <w:widowControl/>
      <w:jc w:val="center"/>
    </w:pPr>
    <w:rPr>
      <w:rFonts w:ascii="仿宋" w:hAnsi="仿宋" w:eastAsia="仿宋"/>
      <w:bCs/>
      <w:color w:val="000000"/>
      <w:sz w:val="21"/>
      <w:szCs w:val="18"/>
    </w:rPr>
  </w:style>
  <w:style w:type="paragraph" w:customStyle="1" w:styleId="212">
    <w:name w:val="表标题"/>
    <w:autoRedefine/>
    <w:qFormat/>
    <w:uiPriority w:val="0"/>
    <w:pPr>
      <w:jc w:val="center"/>
    </w:pPr>
    <w:rPr>
      <w:rFonts w:ascii="仿宋" w:hAnsi="仿宋" w:eastAsia="仿宋" w:cs="Times New Roman"/>
      <w:b/>
      <w:kern w:val="2"/>
      <w:sz w:val="24"/>
      <w:szCs w:val="24"/>
      <w:lang w:val="en-US" w:eastAsia="zh-CN" w:bidi="ar-SA"/>
    </w:rPr>
  </w:style>
  <w:style w:type="character" w:customStyle="1" w:styleId="213">
    <w:name w:val="表格中文字 字符"/>
    <w:link w:val="211"/>
    <w:qFormat/>
    <w:uiPriority w:val="0"/>
    <w:rPr>
      <w:rFonts w:ascii="仿宋" w:hAnsi="仿宋" w:eastAsia="仿宋"/>
      <w:bCs/>
      <w:color w:val="000000"/>
      <w:kern w:val="2"/>
      <w:sz w:val="21"/>
      <w:szCs w:val="18"/>
    </w:rPr>
  </w:style>
  <w:style w:type="character" w:customStyle="1" w:styleId="214">
    <w:name w:val="一级标题 字符"/>
    <w:link w:val="206"/>
    <w:qFormat/>
    <w:uiPriority w:val="0"/>
    <w:rPr>
      <w:rFonts w:ascii="仿宋" w:hAnsi="仿宋" w:eastAsia="仿宋"/>
      <w:b/>
      <w:sz w:val="28"/>
      <w:szCs w:val="24"/>
    </w:rPr>
  </w:style>
  <w:style w:type="character" w:customStyle="1" w:styleId="215">
    <w:name w:val="三级标题 字符"/>
    <w:basedOn w:val="209"/>
    <w:link w:val="208"/>
    <w:qFormat/>
    <w:uiPriority w:val="0"/>
    <w:rPr>
      <w:rFonts w:ascii="仿宋" w:hAnsi="仿宋" w:eastAsia="仿宋"/>
      <w:sz w:val="24"/>
      <w:szCs w:val="24"/>
    </w:rPr>
  </w:style>
  <w:style w:type="character" w:customStyle="1" w:styleId="216">
    <w:name w:val="段 Char Char"/>
    <w:qFormat/>
    <w:uiPriority w:val="0"/>
    <w:rPr>
      <w:rFonts w:ascii="宋体"/>
    </w:rPr>
  </w:style>
  <w:style w:type="character" w:styleId="217">
    <w:name w:val="Placeholder Text"/>
    <w:basedOn w:val="30"/>
    <w:semiHidden/>
    <w:qFormat/>
    <w:uiPriority w:val="99"/>
    <w:rPr>
      <w:color w:val="666666"/>
    </w:rPr>
  </w:style>
  <w:style w:type="paragraph" w:customStyle="1" w:styleId="218">
    <w:name w:val="表格项目"/>
    <w:basedOn w:val="61"/>
    <w:link w:val="219"/>
    <w:autoRedefine/>
    <w:qFormat/>
    <w:uiPriority w:val="0"/>
    <w:pPr>
      <w:tabs>
        <w:tab w:val="clear" w:pos="360"/>
      </w:tabs>
    </w:pPr>
    <w:rPr>
      <w:rFonts w:ascii="宋体" w:hAnsi="宋体"/>
      <w:snapToGrid w:val="0"/>
      <w:color w:val="000000"/>
      <w:kern w:val="0"/>
      <w:szCs w:val="24"/>
    </w:rPr>
  </w:style>
  <w:style w:type="character" w:customStyle="1" w:styleId="219">
    <w:name w:val="表格项目 Char"/>
    <w:link w:val="218"/>
    <w:qFormat/>
    <w:uiPriority w:val="0"/>
    <w:rPr>
      <w:rFonts w:ascii="宋体" w:hAnsi="宋体"/>
      <w:b/>
      <w:snapToGrid w:val="0"/>
      <w:color w:val="000000"/>
      <w:sz w:val="21"/>
      <w:szCs w:val="24"/>
    </w:rPr>
  </w:style>
  <w:style w:type="paragraph" w:customStyle="1" w:styleId="220">
    <w:name w:val="表格5居中"/>
    <w:basedOn w:val="218"/>
    <w:link w:val="221"/>
    <w:autoRedefine/>
    <w:qFormat/>
    <w:uiPriority w:val="0"/>
    <w:pPr/>
    <w:rPr>
      <w:b w:val="0"/>
    </w:rPr>
  </w:style>
  <w:style w:type="character" w:customStyle="1" w:styleId="221">
    <w:name w:val="表格5居中 Char"/>
    <w:basedOn w:val="219"/>
    <w:link w:val="220"/>
    <w:qFormat/>
    <w:uiPriority w:val="0"/>
    <w:rPr>
      <w:rFonts w:ascii="宋体" w:hAnsi="宋体"/>
      <w:b w:val="0"/>
      <w:snapToGrid w:val="0"/>
      <w:color w:val="000000"/>
      <w:sz w:val="21"/>
      <w:szCs w:val="24"/>
    </w:rPr>
  </w:style>
  <w:style w:type="paragraph" w:customStyle="1" w:styleId="222">
    <w:name w:val="表格5加粗"/>
    <w:basedOn w:val="220"/>
    <w:link w:val="223"/>
    <w:autoRedefine/>
    <w:qFormat/>
    <w:uiPriority w:val="0"/>
    <w:pPr/>
    <w:rPr>
      <w:color w:val="auto"/>
      <w:szCs w:val="21"/>
    </w:rPr>
  </w:style>
  <w:style w:type="character" w:customStyle="1" w:styleId="223">
    <w:name w:val="表格5加粗 Char"/>
    <w:link w:val="222"/>
    <w:qFormat/>
    <w:uiPriority w:val="0"/>
    <w:rPr>
      <w:rFonts w:ascii="宋体" w:hAnsi="宋体"/>
      <w:snapToGrid w:val="0"/>
      <w:sz w:val="21"/>
      <w:szCs w:val="21"/>
    </w:rPr>
  </w:style>
  <w:style w:type="character" w:customStyle="1" w:styleId="224">
    <w:name w:val="font01"/>
    <w:qFormat/>
    <w:uiPriority w:val="0"/>
    <w:rPr>
      <w:rFonts w:hint="eastAsia" w:ascii="宋体" w:hAnsi="宋体" w:eastAsia="宋体" w:cs="宋体"/>
      <w:color w:val="000000"/>
      <w:sz w:val="24"/>
      <w:szCs w:val="24"/>
      <w:u w:val="none"/>
    </w:rPr>
  </w:style>
  <w:style w:type="character" w:customStyle="1" w:styleId="225">
    <w:name w:val="表格 文字 Char"/>
    <w:link w:val="226"/>
    <w:qFormat/>
    <w:locked/>
    <w:uiPriority w:val="0"/>
    <w:rPr>
      <w:rFonts w:ascii="宋体" w:cs="宋体"/>
      <w:color w:val="000000"/>
      <w:sz w:val="21"/>
      <w:szCs w:val="21"/>
    </w:rPr>
  </w:style>
  <w:style w:type="paragraph" w:customStyle="1" w:styleId="226">
    <w:name w:val="表格 文字"/>
    <w:basedOn w:val="1"/>
    <w:link w:val="225"/>
    <w:qFormat/>
    <w:uiPriority w:val="0"/>
    <w:pPr>
      <w:widowControl/>
      <w:jc w:val="center"/>
    </w:pPr>
    <w:rPr>
      <w:rFonts w:ascii="宋体" w:eastAsia="宋体" w:cs="宋体"/>
      <w:color w:val="000000"/>
      <w:kern w:val="0"/>
      <w:sz w:val="21"/>
      <w:szCs w:val="21"/>
    </w:rPr>
  </w:style>
  <w:style w:type="paragraph" w:styleId="227">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14C842-06B9-4088-8AD7-A6B0D0B53C9C}">
  <ds:schemaRefs/>
</ds:datastoreItem>
</file>

<file path=docProps/app.xml><?xml version="1.0" encoding="utf-8"?>
<Properties xmlns="http://schemas.openxmlformats.org/officeDocument/2006/extended-properties" xmlns:vt="http://schemas.openxmlformats.org/officeDocument/2006/docPropsVTypes">
  <Template>Normal.dotm</Template>
  <Company>吉林省公路设计院</Company>
  <Pages>14</Pages>
  <Words>6752</Words>
  <Characters>7590</Characters>
  <Lines>144</Lines>
  <Paragraphs>40</Paragraphs>
  <TotalTime>44</TotalTime>
  <ScaleCrop>false</ScaleCrop>
  <LinksUpToDate>false</LinksUpToDate>
  <CharactersWithSpaces>7621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2026-03-16T05:22:00Z</dcterms:created>
  <dc:creator>luyayi</dc:creator>
  <cp:lastModifiedBy>刘同学</cp:lastModifiedBy>
  <cp:lastPrinted>2026-04-05T09:31:00Z</cp:lastPrinted>
  <dcterms:modified xsi:type="dcterms:W3CDTF">2026-05-06T10:27:59Z</dcterms:modified>
  <dc:title>说明书</dc:title>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iioBoundaries">
    <vt:bool>true</vt:bool>
  </property>
  <property fmtid="{D5CDD505-2E9C-101B-9397-08002B2CF9AE}" pid="3" name="KSOTemplateDocerSaveRecord">
    <vt:lpwstr>eyJoZGlkIjoiMmU0ODBiYzc3MmU0YTZmNmRkNjE3ZDI3ZDNiOGNlZDUiLCJ1c2VySWQiOiIyMzIwNjcwNDEifQ==</vt:lpwstr>
  </property>
  <property fmtid="{D5CDD505-2E9C-101B-9397-08002B2CF9AE}" pid="4" name="KSOProductBuildVer">
    <vt:lpwstr>2052-12.1.0.25865</vt:lpwstr>
  </property>
  <property fmtid="{D5CDD505-2E9C-101B-9397-08002B2CF9AE}" pid="5" name="ICV">
    <vt:lpwstr>04CDF7AD9D934DDAA616584D2F5ACCD9_12</vt:lpwstr>
  </property>
</Properties>
</file>